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36"/>
          <w:szCs w:val="36"/>
        </w:rPr>
      </w:pPr>
    </w:p>
    <w:p>
      <w:pPr>
        <w:jc w:val="center"/>
        <w:rPr>
          <w:rFonts w:ascii="宋体" w:hAnsi="宋体" w:eastAsia="宋体" w:cs="Arial"/>
          <w:b/>
          <w:bCs/>
          <w:sz w:val="36"/>
          <w:szCs w:val="36"/>
        </w:rPr>
      </w:pPr>
    </w:p>
    <w:p>
      <w:pPr>
        <w:jc w:val="center"/>
        <w:rPr>
          <w:rFonts w:ascii="宋体" w:hAnsi="宋体" w:eastAsia="宋体" w:cs="Arial"/>
          <w:b/>
          <w:bCs/>
          <w:sz w:val="36"/>
          <w:szCs w:val="36"/>
        </w:rPr>
      </w:pPr>
    </w:p>
    <w:p>
      <w:pPr>
        <w:pageBreakBefore w:val="0"/>
        <w:kinsoku/>
        <w:wordWrap/>
        <w:topLinePunct w:val="0"/>
        <w:autoSpaceDE/>
        <w:autoSpaceDN/>
        <w:bidi w:val="0"/>
        <w:spacing w:line="560" w:lineRule="exact"/>
        <w:ind w:left="0" w:leftChars="0" w:firstLine="0" w:firstLineChars="0"/>
        <w:jc w:val="center"/>
        <w:textAlignment w:val="auto"/>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托克逊县202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年林业草原改革发展资金-退耕还林延长补助支出绩效评价报告</w:t>
      </w:r>
    </w:p>
    <w:p>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pPr>
        <w:pStyle w:val="2"/>
        <w:rPr>
          <w:rFonts w:ascii="宋体" w:hAnsi="宋体" w:eastAsia="宋体" w:cs="Arial"/>
          <w:b/>
          <w:bCs/>
          <w:color w:val="auto"/>
          <w:sz w:val="36"/>
          <w:szCs w:val="36"/>
          <w:highlight w:val="none"/>
        </w:rPr>
      </w:pPr>
    </w:p>
    <w:p>
      <w:pPr>
        <w:pStyle w:val="2"/>
        <w:rPr>
          <w:rFonts w:ascii="宋体" w:hAnsi="宋体" w:eastAsia="宋体" w:cs="Arial"/>
          <w:b/>
          <w:bCs/>
          <w:color w:val="auto"/>
          <w:sz w:val="36"/>
          <w:szCs w:val="36"/>
          <w:highlight w:val="none"/>
        </w:rPr>
      </w:pPr>
    </w:p>
    <w:p>
      <w:pPr>
        <w:pStyle w:val="2"/>
        <w:rPr>
          <w:rFonts w:ascii="宋体" w:hAnsi="宋体" w:eastAsia="宋体" w:cs="Arial"/>
          <w:b/>
          <w:bCs/>
          <w:color w:val="auto"/>
          <w:sz w:val="36"/>
          <w:szCs w:val="36"/>
          <w:highlight w:val="none"/>
        </w:rPr>
      </w:pPr>
    </w:p>
    <w:p>
      <w:pPr>
        <w:pageBreakBefore w:val="0"/>
        <w:kinsoku/>
        <w:wordWrap/>
        <w:topLinePunct w:val="0"/>
        <w:autoSpaceDE/>
        <w:autoSpaceDN/>
        <w:bidi w:val="0"/>
        <w:spacing w:line="560" w:lineRule="exact"/>
        <w:jc w:val="center"/>
        <w:textAlignment w:val="auto"/>
        <w:rPr>
          <w:rFonts w:ascii="宋体" w:hAnsi="宋体" w:eastAsia="宋体" w:cs="Arial"/>
          <w:b/>
          <w:bCs/>
          <w:color w:val="auto"/>
          <w:sz w:val="36"/>
          <w:szCs w:val="36"/>
          <w:highlight w:val="none"/>
        </w:rPr>
      </w:pPr>
    </w:p>
    <w:p>
      <w:pPr>
        <w:pStyle w:val="5"/>
        <w:pageBreakBefore w:val="0"/>
        <w:kinsoku/>
        <w:wordWrap/>
        <w:topLinePunct w:val="0"/>
        <w:autoSpaceDE/>
        <w:autoSpaceDN/>
        <w:bidi w:val="0"/>
        <w:spacing w:line="560" w:lineRule="exact"/>
        <w:textAlignment w:val="auto"/>
        <w:rPr>
          <w:color w:val="auto"/>
          <w:highlight w:val="none"/>
        </w:rPr>
      </w:pPr>
    </w:p>
    <w:p>
      <w:pPr>
        <w:pageBreakBefore w:val="0"/>
        <w:kinsoku/>
        <w:wordWrap/>
        <w:topLinePunct w:val="0"/>
        <w:autoSpaceDE/>
        <w:autoSpaceDN/>
        <w:bidi w:val="0"/>
        <w:spacing w:line="560" w:lineRule="exact"/>
        <w:ind w:left="638" w:leftChars="228" w:firstLine="0" w:firstLineChars="0"/>
        <w:textAlignment w:val="auto"/>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项目名称：</w:t>
      </w:r>
      <w:r>
        <w:rPr>
          <w:rFonts w:hint="eastAsia" w:ascii="黑体" w:eastAsia="黑体"/>
          <w:color w:val="auto"/>
          <w:sz w:val="32"/>
          <w:szCs w:val="32"/>
          <w:highlight w:val="none"/>
          <w:lang w:val="en-US" w:eastAsia="zh-CN"/>
        </w:rPr>
        <w:t>托克逊县2023年林业草原改革发展资金-退耕还林延长补助支出</w:t>
      </w:r>
    </w:p>
    <w:p>
      <w:pPr>
        <w:pageBreakBefore w:val="0"/>
        <w:kinsoku/>
        <w:wordWrap/>
        <w:topLinePunct w:val="0"/>
        <w:autoSpaceDE/>
        <w:autoSpaceDN/>
        <w:bidi w:val="0"/>
        <w:spacing w:line="560" w:lineRule="exact"/>
        <w:ind w:firstLine="600"/>
        <w:textAlignment w:val="auto"/>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eastAsia="zh-CN"/>
        </w:rPr>
        <w:t>托克逊县</w:t>
      </w:r>
      <w:r>
        <w:rPr>
          <w:rFonts w:hint="eastAsia" w:ascii="黑体" w:eastAsia="黑体"/>
          <w:color w:val="auto"/>
          <w:sz w:val="32"/>
          <w:szCs w:val="32"/>
          <w:highlight w:val="none"/>
          <w:lang w:val="en-US" w:eastAsia="zh-CN"/>
        </w:rPr>
        <w:t>林业和草原局</w:t>
      </w:r>
    </w:p>
    <w:p>
      <w:pPr>
        <w:pageBreakBefore w:val="0"/>
        <w:kinsoku/>
        <w:wordWrap/>
        <w:topLinePunct w:val="0"/>
        <w:autoSpaceDE/>
        <w:autoSpaceDN/>
        <w:bidi w:val="0"/>
        <w:spacing w:line="560" w:lineRule="exact"/>
        <w:ind w:firstLine="600"/>
        <w:textAlignment w:val="auto"/>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童振荣</w:t>
      </w:r>
    </w:p>
    <w:p>
      <w:pPr>
        <w:pageBreakBefore w:val="0"/>
        <w:kinsoku/>
        <w:wordWrap/>
        <w:topLinePunct w:val="0"/>
        <w:autoSpaceDE/>
        <w:autoSpaceDN/>
        <w:bidi w:val="0"/>
        <w:spacing w:line="560" w:lineRule="exact"/>
        <w:ind w:firstLine="600"/>
        <w:textAlignment w:val="auto"/>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pPr>
        <w:pageBreakBefore w:val="0"/>
        <w:kinsoku/>
        <w:wordWrap/>
        <w:topLinePunct w:val="0"/>
        <w:autoSpaceDE/>
        <w:autoSpaceDN/>
        <w:bidi w:val="0"/>
        <w:spacing w:line="560" w:lineRule="exact"/>
        <w:jc w:val="center"/>
        <w:textAlignment w:val="auto"/>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托克逊县2023年林业草原改革发展资金-退耕还林延长补助支出评价报告</w:t>
      </w:r>
    </w:p>
    <w:p>
      <w:pPr>
        <w:pStyle w:val="3"/>
        <w:pageBreakBefore w:val="0"/>
        <w:kinsoku/>
        <w:wordWrap/>
        <w:topLinePunct w:val="0"/>
        <w:autoSpaceDE/>
        <w:autoSpaceDN/>
        <w:bidi w:val="0"/>
        <w:spacing w:line="560" w:lineRule="exact"/>
        <w:ind w:firstLine="640"/>
        <w:textAlignment w:val="auto"/>
        <w:rPr>
          <w:color w:val="auto"/>
          <w:highlight w:val="none"/>
        </w:rPr>
      </w:pPr>
      <w:r>
        <w:rPr>
          <w:rFonts w:hint="eastAsia"/>
          <w:color w:val="auto"/>
          <w:highlight w:val="none"/>
        </w:rPr>
        <w:t>一、基本情况</w:t>
      </w:r>
    </w:p>
    <w:p>
      <w:pPr>
        <w:pStyle w:val="4"/>
        <w:pageBreakBefore w:val="0"/>
        <w:kinsoku/>
        <w:wordWrap/>
        <w:topLinePunct w:val="0"/>
        <w:autoSpaceDE/>
        <w:autoSpaceDN/>
        <w:bidi w:val="0"/>
        <w:spacing w:line="560" w:lineRule="exact"/>
        <w:ind w:firstLine="643"/>
        <w:textAlignment w:val="auto"/>
        <w:rPr>
          <w:rFonts w:hint="eastAsia" w:eastAsia="楷体"/>
          <w:color w:val="auto"/>
          <w:highlight w:val="none"/>
          <w:lang w:eastAsia="zh-CN"/>
        </w:rPr>
      </w:pPr>
      <w:r>
        <w:rPr>
          <w:rFonts w:hint="eastAsia"/>
          <w:color w:val="auto"/>
          <w:highlight w:val="none"/>
        </w:rPr>
        <w:t>（一）项目</w:t>
      </w:r>
      <w:r>
        <w:rPr>
          <w:rFonts w:hint="eastAsia"/>
          <w:color w:val="auto"/>
          <w:highlight w:val="none"/>
          <w:lang w:eastAsia="zh-CN"/>
        </w:rPr>
        <w:t>背景</w:t>
      </w:r>
    </w:p>
    <w:p>
      <w:pPr>
        <w:ind w:firstLine="843" w:firstLineChars="300"/>
        <w:rPr>
          <w:rFonts w:hint="eastAsia" w:ascii="仿宋_GB2312" w:hAnsi="仿宋_GB2312" w:cs="Times New Roman"/>
          <w:b/>
          <w:bCs/>
          <w:color w:val="auto"/>
          <w:kern w:val="0"/>
          <w:sz w:val="28"/>
          <w:szCs w:val="44"/>
          <w:highlight w:val="none"/>
          <w:lang w:val="en-US" w:eastAsia="zh-CN" w:bidi="ar-SA"/>
        </w:rPr>
      </w:pPr>
      <w:r>
        <w:rPr>
          <w:rFonts w:hint="eastAsia" w:ascii="仿宋_GB2312" w:hAnsi="仿宋_GB2312" w:eastAsia="仿宋_GB2312" w:cs="Times New Roman"/>
          <w:b/>
          <w:bCs/>
          <w:color w:val="auto"/>
          <w:kern w:val="0"/>
          <w:sz w:val="28"/>
          <w:szCs w:val="44"/>
          <w:highlight w:val="none"/>
          <w:lang w:val="en-US" w:eastAsia="zh-CN" w:bidi="ar-SA"/>
        </w:rPr>
        <w:t>1.项目</w:t>
      </w:r>
      <w:r>
        <w:rPr>
          <w:rFonts w:hint="eastAsia" w:ascii="仿宋_GB2312" w:hAnsi="仿宋_GB2312" w:cs="Times New Roman"/>
          <w:b/>
          <w:bCs/>
          <w:color w:val="auto"/>
          <w:kern w:val="0"/>
          <w:sz w:val="28"/>
          <w:szCs w:val="44"/>
          <w:highlight w:val="none"/>
          <w:lang w:val="en-US" w:eastAsia="zh-CN" w:bidi="ar-SA"/>
        </w:rPr>
        <w:t>概况</w:t>
      </w:r>
    </w:p>
    <w:p>
      <w:pPr>
        <w:rPr>
          <w:rFonts w:hint="eastAsia" w:ascii="仿宋_GB2312" w:hAnsi="Times New Roman" w:eastAsia="仿宋_GB2312" w:cs="Times New Roman"/>
          <w:b w:val="0"/>
          <w:bCs w:val="0"/>
          <w:color w:val="auto"/>
          <w:kern w:val="2"/>
          <w:sz w:val="28"/>
          <w:szCs w:val="28"/>
          <w:highlight w:val="none"/>
          <w:lang w:val="en-US" w:eastAsia="zh-CN" w:bidi="ar-SA"/>
        </w:rPr>
      </w:pPr>
      <w:r>
        <w:rPr>
          <w:rFonts w:hint="eastAsia" w:ascii="仿宋_GB2312" w:hAnsi="Times New Roman" w:eastAsia="仿宋_GB2312" w:cs="Times New Roman"/>
          <w:b w:val="0"/>
          <w:bCs w:val="0"/>
          <w:color w:val="auto"/>
          <w:kern w:val="2"/>
          <w:sz w:val="28"/>
          <w:szCs w:val="28"/>
          <w:highlight w:val="none"/>
          <w:lang w:val="en-US" w:eastAsia="zh-CN" w:bidi="ar-SA"/>
        </w:rPr>
        <w:t>目前托克逊县的沙漠化防治初步进入了一个讲规模、求效益和稳步发展的新阶段，形成了以绿洲边缘防风固沙为裙带，以天然荒漠林为前锋的绿色屏障。平原人工林已逐渐形成“窄林带、小网格”的平原绿洲防护林体系。平原人工林造林树种主要以抗风沙、耐干旱和适应性强的白榆、桑树、沙枣、胡杨等乡土树种为主。</w:t>
      </w:r>
    </w:p>
    <w:p>
      <w:pPr>
        <w:rPr>
          <w:rFonts w:hint="eastAsia" w:ascii="仿宋_GB2312" w:hAnsi="Times New Roman" w:eastAsia="仿宋_GB2312" w:cs="Times New Roman"/>
          <w:b w:val="0"/>
          <w:bCs w:val="0"/>
          <w:color w:val="auto"/>
          <w:kern w:val="2"/>
          <w:sz w:val="28"/>
          <w:szCs w:val="28"/>
          <w:highlight w:val="none"/>
          <w:lang w:val="en-US" w:eastAsia="zh-CN" w:bidi="ar-SA"/>
        </w:rPr>
      </w:pPr>
      <w:r>
        <w:rPr>
          <w:rFonts w:hint="eastAsia" w:ascii="仿宋_GB2312" w:hAnsi="Times New Roman" w:eastAsia="仿宋_GB2312" w:cs="Times New Roman"/>
          <w:b w:val="0"/>
          <w:bCs w:val="0"/>
          <w:color w:val="auto"/>
          <w:kern w:val="2"/>
          <w:sz w:val="28"/>
          <w:szCs w:val="28"/>
          <w:highlight w:val="none"/>
          <w:lang w:val="en-US" w:eastAsia="zh-CN" w:bidi="ar-SA"/>
        </w:rPr>
        <w:t>项目区涉及土壤类型有7种，分别为栗钙土、灰钙土、棕漠土、潮土、绿洲土、草甸土、盐土。土壤类型适宜本地植被生长。地貌多为平原，地形平整，局部有坡度。造林中整地、抚育等流程，便于执行。地下水源丰富，部分区域机井、农用田灌溉体系成熟，为造林后期水源提供了保障。区域内有国道、省道、村道等，交通网络便捷，便于苗木运输、人员进场等。</w:t>
      </w:r>
    </w:p>
    <w:p>
      <w:pPr>
        <w:rPr>
          <w:rFonts w:hint="eastAsia" w:ascii="仿宋_GB2312" w:hAnsi="Times New Roman" w:eastAsia="仿宋_GB2312" w:cs="Times New Roman"/>
          <w:b w:val="0"/>
          <w:bCs w:val="0"/>
          <w:color w:val="auto"/>
          <w:kern w:val="2"/>
          <w:sz w:val="28"/>
          <w:szCs w:val="28"/>
          <w:highlight w:val="none"/>
          <w:lang w:val="en-US" w:eastAsia="zh-CN" w:bidi="ar-SA"/>
        </w:rPr>
      </w:pPr>
      <w:r>
        <w:rPr>
          <w:rFonts w:hint="eastAsia" w:ascii="仿宋_GB2312" w:hAnsi="Times New Roman" w:eastAsia="仿宋_GB2312" w:cs="Times New Roman"/>
          <w:b w:val="0"/>
          <w:bCs w:val="0"/>
          <w:color w:val="auto"/>
          <w:kern w:val="2"/>
          <w:sz w:val="28"/>
          <w:szCs w:val="28"/>
          <w:highlight w:val="none"/>
          <w:lang w:val="en-US" w:eastAsia="zh-CN" w:bidi="ar-SA"/>
        </w:rPr>
        <w:t>综合判定，实施工程区域基本具备造林条件，适宜进行造林活动。</w:t>
      </w:r>
    </w:p>
    <w:p>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2.项目实施主体</w:t>
      </w:r>
    </w:p>
    <w:p>
      <w:pPr>
        <w:pageBreakBefore w:val="0"/>
        <w:kinsoku/>
        <w:wordWrap/>
        <w:topLinePunct w:val="0"/>
        <w:autoSpaceDE/>
        <w:autoSpaceDN/>
        <w:bidi w:val="0"/>
        <w:spacing w:line="560" w:lineRule="exact"/>
        <w:ind w:firstLine="562"/>
        <w:textAlignment w:val="auto"/>
        <w:rPr>
          <w:rFonts w:hint="eastAsia"/>
          <w:b/>
          <w:color w:val="auto"/>
          <w:highlight w:val="none"/>
        </w:rPr>
      </w:pPr>
      <w:r>
        <w:rPr>
          <w:rFonts w:hint="eastAsia"/>
          <w:b/>
          <w:color w:val="auto"/>
          <w:highlight w:val="none"/>
        </w:rPr>
        <w:t>（1）单位职能</w:t>
      </w:r>
    </w:p>
    <w:p>
      <w:pPr>
        <w:ind w:firstLine="684"/>
        <w:outlineLvl w:val="0"/>
        <w:rPr>
          <w:rFonts w:hint="eastAsia" w:ascii="仿宋_GB2312" w:hAnsi="仿宋_GB2312" w:eastAsia="仿宋_GB2312" w:cs="仿宋_GB2312"/>
          <w:spacing w:val="11"/>
          <w:sz w:val="28"/>
          <w:szCs w:val="28"/>
          <w:lang w:eastAsia="zh-CN"/>
        </w:rPr>
      </w:pPr>
      <w:r>
        <w:rPr>
          <w:rFonts w:hint="eastAsia" w:ascii="仿宋_GB2312" w:hAnsi="仿宋_GB2312" w:eastAsia="仿宋_GB2312" w:cs="仿宋_GB2312"/>
          <w:spacing w:val="11"/>
          <w:sz w:val="28"/>
          <w:szCs w:val="28"/>
          <w:lang w:eastAsia="zh-CN"/>
        </w:rPr>
        <w:t>负责全县林业及其生态建设的监督管理；承担造林绿化的责任和森林资源保护发展监督管理的责任；组织指导全县植树造林和封山育林、平原天然林恢复发展工作；指导以植树种草等生物防治措施防治水土流失和防沙治沙工作；组织和监督、指导全县野生动物资源的保护和合理开发利用；指导森林和野生动植物及湿地类型自然保护区的建设管理。指导监督全县森林防火工作；监督查处破坏森林资源和野生动物资源的案件。</w:t>
      </w:r>
    </w:p>
    <w:p>
      <w:pPr>
        <w:pageBreakBefore w:val="0"/>
        <w:kinsoku/>
        <w:wordWrap/>
        <w:topLinePunct w:val="0"/>
        <w:autoSpaceDE/>
        <w:autoSpaceDN/>
        <w:bidi w:val="0"/>
        <w:spacing w:line="560" w:lineRule="exact"/>
        <w:ind w:firstLine="562"/>
        <w:textAlignment w:val="auto"/>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pStyle w:val="18"/>
        <w:spacing w:after="0" w:line="520" w:lineRule="exact"/>
        <w:ind w:firstLine="604" w:firstLineChars="200"/>
        <w:rPr>
          <w:rFonts w:hint="eastAsia" w:ascii="仿宋" w:hAnsi="仿宋" w:eastAsia="仿宋" w:cs="仿宋"/>
          <w:b w:val="0"/>
          <w:bCs w:val="0"/>
          <w:color w:val="000000"/>
          <w:sz w:val="28"/>
          <w:szCs w:val="28"/>
        </w:rPr>
      </w:pPr>
      <w:r>
        <w:rPr>
          <w:rFonts w:hint="eastAsia" w:ascii="仿宋_GB2312" w:hAnsi="仿宋_GB2312" w:eastAsia="仿宋_GB2312" w:cs="仿宋_GB2312"/>
          <w:spacing w:val="11"/>
          <w:sz w:val="28"/>
          <w:szCs w:val="28"/>
          <w:lang w:eastAsia="zh-CN"/>
        </w:rPr>
        <w:t>托克逊县林业和草原局现有干部职工共计297人，其中干部职工68人，护林员77人，护草员18人，公益性岗位53人，南疆务工人员30人，新增地方性管护人员50人，下属二级单位五个，分别为林业草原工作站、治沙站、林果中心、林检局、第二苗圃。</w:t>
      </w:r>
    </w:p>
    <w:p>
      <w:pPr>
        <w:pStyle w:val="5"/>
        <w:pageBreakBefore w:val="0"/>
        <w:kinsoku/>
        <w:wordWrap/>
        <w:topLinePunct w:val="0"/>
        <w:autoSpaceDE/>
        <w:autoSpaceDN/>
        <w:bidi w:val="0"/>
        <w:spacing w:line="560" w:lineRule="exact"/>
        <w:ind w:firstLine="562"/>
        <w:textAlignment w:val="auto"/>
        <w:rPr>
          <w:color w:val="auto"/>
          <w:highlight w:val="none"/>
        </w:rPr>
      </w:pPr>
      <w:r>
        <w:rPr>
          <w:rFonts w:hint="eastAsia" w:ascii="仿宋" w:hAnsi="仿宋" w:eastAsia="仿宋"/>
          <w:color w:val="auto"/>
          <w:sz w:val="28"/>
          <w:szCs w:val="28"/>
          <w:highlight w:val="none"/>
          <w:lang w:val="en-US" w:eastAsia="zh-CN"/>
        </w:rPr>
        <w:t xml:space="preserve"> </w:t>
      </w:r>
      <w:r>
        <w:rPr>
          <w:rFonts w:hint="eastAsia"/>
          <w:color w:val="auto"/>
          <w:highlight w:val="none"/>
          <w:lang w:val="en-US" w:eastAsia="zh-CN"/>
        </w:rPr>
        <w:t>3</w:t>
      </w:r>
      <w:r>
        <w:rPr>
          <w:rFonts w:hint="eastAsia"/>
          <w:color w:val="auto"/>
          <w:highlight w:val="none"/>
        </w:rPr>
        <w:t>.主要内容及实施情况</w:t>
      </w:r>
    </w:p>
    <w:p>
      <w:pPr>
        <w:pStyle w:val="5"/>
        <w:pageBreakBefore w:val="0"/>
        <w:kinsoku/>
        <w:wordWrap/>
        <w:topLinePunct w:val="0"/>
        <w:autoSpaceDE/>
        <w:autoSpaceDN/>
        <w:bidi w:val="0"/>
        <w:spacing w:line="560" w:lineRule="exact"/>
        <w:textAlignment w:val="auto"/>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项目名称：林业草原改革发展资金-退耕还林延长补助</w:t>
      </w:r>
    </w:p>
    <w:p>
      <w:pPr>
        <w:pStyle w:val="5"/>
        <w:pageBreakBefore w:val="0"/>
        <w:kinsoku/>
        <w:wordWrap/>
        <w:topLinePunct w:val="0"/>
        <w:autoSpaceDE/>
        <w:autoSpaceDN/>
        <w:bidi w:val="0"/>
        <w:spacing w:line="560" w:lineRule="exact"/>
        <w:ind w:left="560" w:leftChars="200" w:firstLine="0" w:firstLineChars="0"/>
        <w:textAlignment w:val="auto"/>
        <w:rPr>
          <w:rFonts w:hint="default"/>
          <w:b w:val="0"/>
          <w:bCs w:val="0"/>
          <w:color w:val="auto"/>
          <w:highlight w:val="none"/>
          <w:lang w:val="en-US" w:eastAsia="zh-CN"/>
        </w:rPr>
      </w:pPr>
      <w:r>
        <w:rPr>
          <w:rFonts w:hint="eastAsia" w:ascii="Times New Roman" w:hAnsi="Times New Roman" w:eastAsia="仿宋_GB2312" w:cs="Times New Roman"/>
          <w:b w:val="0"/>
          <w:bCs w:val="0"/>
          <w:color w:val="auto"/>
          <w:kern w:val="2"/>
          <w:sz w:val="28"/>
          <w:szCs w:val="24"/>
          <w:highlight w:val="none"/>
          <w:lang w:val="en-US" w:eastAsia="zh-CN" w:bidi="ar-SA"/>
        </w:rPr>
        <w:t>项目建设内容及规模:2023年新一轮退耕还林3.186万亩延长补助资金兑现。项目</w:t>
      </w:r>
      <w:r>
        <w:rPr>
          <w:rFonts w:hint="eastAsia"/>
          <w:b w:val="0"/>
          <w:bCs w:val="0"/>
          <w:color w:val="auto"/>
          <w:highlight w:val="none"/>
          <w:lang w:val="en-US" w:eastAsia="zh-CN"/>
        </w:rPr>
        <w:t>实施时间：本项目实施时间为2023年1月1日-2023年12月30日</w:t>
      </w:r>
    </w:p>
    <w:p>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项目实施情况：</w:t>
      </w:r>
    </w:p>
    <w:p>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ascii="Times New Roman" w:hAnsi="Times New Roman" w:cs="Times New Roman"/>
          <w:color w:val="auto"/>
          <w:highlight w:val="none"/>
          <w:lang w:val="en-US" w:eastAsia="zh-CN"/>
        </w:rPr>
        <w:t>本项目已完成：2023年退耕还林延长补助2.8162万亩。项目按进度执行</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本项目的实施，对2015—2018年保存率达标的3.18</w:t>
      </w:r>
      <w:r>
        <w:rPr>
          <w:rFonts w:hint="eastAsia" w:cs="Times New Roman"/>
          <w:color w:val="auto"/>
          <w:highlight w:val="none"/>
          <w:lang w:val="en-US" w:eastAsia="zh-CN"/>
        </w:rPr>
        <w:t>595</w:t>
      </w:r>
      <w:r>
        <w:rPr>
          <w:rFonts w:hint="eastAsia" w:ascii="Times New Roman" w:hAnsi="Times New Roman" w:cs="Times New Roman"/>
          <w:color w:val="auto"/>
          <w:highlight w:val="none"/>
          <w:lang w:val="en-US" w:eastAsia="zh-CN"/>
        </w:rPr>
        <w:t>万亩新一轮退耕还林开展县级验收，进行延长补助；持续巩固好退耕还林成果，提升受益群众满意度。</w:t>
      </w:r>
    </w:p>
    <w:p>
      <w:pPr>
        <w:pStyle w:val="5"/>
        <w:pageBreakBefore w:val="0"/>
        <w:kinsoku/>
        <w:wordWrap/>
        <w:topLinePunct w:val="0"/>
        <w:autoSpaceDE/>
        <w:autoSpaceDN/>
        <w:bidi w:val="0"/>
        <w:spacing w:line="560" w:lineRule="exact"/>
        <w:ind w:firstLine="562"/>
        <w:textAlignment w:val="auto"/>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pageBreakBefore w:val="0"/>
        <w:kinsoku/>
        <w:wordWrap/>
        <w:topLinePunct w:val="0"/>
        <w:autoSpaceDE/>
        <w:autoSpaceDN/>
        <w:bidi w:val="0"/>
        <w:spacing w:line="560" w:lineRule="exact"/>
        <w:ind w:firstLine="562"/>
        <w:textAlignment w:val="auto"/>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318.6</w:t>
      </w:r>
      <w:r>
        <w:rPr>
          <w:color w:val="auto"/>
          <w:highlight w:val="none"/>
        </w:rPr>
        <w:t>万元，其中财政资金</w:t>
      </w:r>
      <w:r>
        <w:rPr>
          <w:rFonts w:hint="eastAsia"/>
          <w:color w:val="auto"/>
          <w:highlight w:val="none"/>
          <w:lang w:val="en-US" w:eastAsia="zh-CN"/>
        </w:rPr>
        <w:t>318.6</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318.6</w:t>
      </w:r>
      <w:r>
        <w:rPr>
          <w:color w:val="auto"/>
          <w:highlight w:val="none"/>
        </w:rPr>
        <w:t>万元，预算资金到位率为</w:t>
      </w:r>
      <w:r>
        <w:rPr>
          <w:rFonts w:hint="eastAsia"/>
          <w:color w:val="auto"/>
          <w:highlight w:val="none"/>
          <w:lang w:val="en-US" w:eastAsia="zh-CN"/>
        </w:rPr>
        <w:t>100</w:t>
      </w:r>
      <w:r>
        <w:rPr>
          <w:color w:val="auto"/>
          <w:highlight w:val="none"/>
        </w:rPr>
        <w:t>%。</w:t>
      </w:r>
    </w:p>
    <w:p>
      <w:pPr>
        <w:pageBreakBefore w:val="0"/>
        <w:kinsoku/>
        <w:wordWrap/>
        <w:topLinePunct w:val="0"/>
        <w:autoSpaceDE/>
        <w:autoSpaceDN/>
        <w:bidi w:val="0"/>
        <w:spacing w:line="560" w:lineRule="exact"/>
        <w:ind w:firstLine="562"/>
        <w:textAlignment w:val="auto"/>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5"/>
        <w:pageBreakBefore w:val="0"/>
        <w:kinsoku/>
        <w:wordWrap/>
        <w:topLinePunct w:val="0"/>
        <w:autoSpaceDE/>
        <w:autoSpaceDN/>
        <w:bidi w:val="0"/>
        <w:spacing w:line="560" w:lineRule="exact"/>
        <w:textAlignment w:val="auto"/>
        <w:rPr>
          <w:rFonts w:hint="default" w:eastAsia="仿宋_GB2312"/>
          <w:b w:val="0"/>
          <w:bCs w:val="0"/>
          <w:color w:val="auto"/>
          <w:highlight w:val="none"/>
          <w:lang w:val="en-US" w:eastAsia="zh-CN"/>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281.6231</w:t>
      </w:r>
      <w:r>
        <w:rPr>
          <w:rFonts w:hint="eastAsia"/>
          <w:b w:val="0"/>
          <w:bCs w:val="0"/>
          <w:color w:val="auto"/>
          <w:highlight w:val="none"/>
        </w:rPr>
        <w:t>万元，预算执行率</w:t>
      </w:r>
      <w:r>
        <w:rPr>
          <w:rFonts w:hint="eastAsia"/>
          <w:b w:val="0"/>
          <w:bCs w:val="0"/>
          <w:color w:val="auto"/>
          <w:highlight w:val="none"/>
          <w:lang w:val="en-US" w:eastAsia="zh-CN"/>
        </w:rPr>
        <w:t>88.4</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结转资金36.9759</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万元。项目资金主要用于支付</w:t>
      </w:r>
      <w:r>
        <w:rPr>
          <w:rFonts w:hint="eastAsia"/>
          <w:b w:val="0"/>
          <w:bCs w:val="0"/>
          <w:color w:val="auto"/>
          <w:highlight w:val="none"/>
          <w:lang w:val="en-US" w:eastAsia="zh-CN"/>
        </w:rPr>
        <w:t>退耕还林延长期补助。</w:t>
      </w:r>
    </w:p>
    <w:p>
      <w:pPr>
        <w:pStyle w:val="4"/>
        <w:pageBreakBefore w:val="0"/>
        <w:kinsoku/>
        <w:wordWrap/>
        <w:topLinePunct w:val="0"/>
        <w:autoSpaceDE/>
        <w:autoSpaceDN/>
        <w:bidi w:val="0"/>
        <w:spacing w:line="560" w:lineRule="exact"/>
        <w:ind w:firstLine="643"/>
        <w:textAlignment w:val="auto"/>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pageBreakBefore w:val="0"/>
        <w:kinsoku/>
        <w:wordWrap/>
        <w:topLinePunct w:val="0"/>
        <w:autoSpaceDE/>
        <w:autoSpaceDN/>
        <w:bidi w:val="0"/>
        <w:spacing w:line="560" w:lineRule="exact"/>
        <w:textAlignment w:val="auto"/>
        <w:rPr>
          <w:color w:val="auto"/>
          <w:highlight w:val="none"/>
        </w:rPr>
      </w:pPr>
      <w:r>
        <w:rPr>
          <w:rFonts w:hint="eastAsia"/>
          <w:color w:val="auto"/>
          <w:highlight w:val="none"/>
        </w:rPr>
        <w:t>1.总体目标</w:t>
      </w:r>
    </w:p>
    <w:p>
      <w:pPr>
        <w:pStyle w:val="5"/>
        <w:pageBreakBefore w:val="0"/>
        <w:kinsoku/>
        <w:wordWrap/>
        <w:topLinePunct w:val="0"/>
        <w:autoSpaceDE/>
        <w:autoSpaceDN/>
        <w:bidi w:val="0"/>
        <w:spacing w:line="560" w:lineRule="exact"/>
        <w:ind w:firstLine="562"/>
        <w:textAlignment w:val="auto"/>
        <w:rPr>
          <w:rFonts w:hint="eastAsia"/>
          <w:b w:val="0"/>
          <w:bCs w:val="0"/>
          <w:color w:val="auto"/>
          <w:highlight w:val="none"/>
          <w:lang w:val="en-US" w:eastAsia="zh-CN"/>
        </w:rPr>
      </w:pPr>
      <w:r>
        <w:rPr>
          <w:rFonts w:hint="eastAsia"/>
          <w:b w:val="0"/>
          <w:bCs w:val="0"/>
          <w:color w:val="auto"/>
          <w:highlight w:val="none"/>
          <w:lang w:val="en-US" w:eastAsia="zh-CN"/>
        </w:rPr>
        <w:t>目标1:对2015—2018年保存率达标的3.186万亩新一轮退耕还林开展县级验收，进行延长补助；持续巩固好退耕还林成果，提升受益群众满意度。</w:t>
      </w:r>
    </w:p>
    <w:p>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2.阶段性目标</w:t>
      </w:r>
    </w:p>
    <w:p>
      <w:pPr>
        <w:pageBreakBefore w:val="0"/>
        <w:kinsoku/>
        <w:wordWrap/>
        <w:topLinePunct w:val="0"/>
        <w:autoSpaceDE/>
        <w:autoSpaceDN/>
        <w:bidi w:val="0"/>
        <w:spacing w:line="560" w:lineRule="exact"/>
        <w:ind w:firstLine="560"/>
        <w:textAlignment w:val="auto"/>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pageBreakBefore w:val="0"/>
        <w:kinsoku/>
        <w:wordWrap/>
        <w:topLinePunct w:val="0"/>
        <w:autoSpaceDE/>
        <w:autoSpaceDN/>
        <w:bidi w:val="0"/>
        <w:spacing w:line="560" w:lineRule="exact"/>
        <w:ind w:firstLine="562"/>
        <w:textAlignment w:val="auto"/>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①数量指标</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“新一轮退耕还林延长期补助面积”指标，预期指标值为</w:t>
      </w:r>
      <w:r>
        <w:rPr>
          <w:rFonts w:hint="eastAsia"/>
          <w:color w:val="auto"/>
          <w:highlight w:val="none"/>
          <w:lang w:val="en-US" w:eastAsia="zh-CN"/>
        </w:rPr>
        <w:t>3.19万亩。</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②质量指标</w:t>
      </w:r>
    </w:p>
    <w:p>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rPr>
        <w:t>“资金规范使用率”指标，预期指标值为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firstLine="560"/>
        <w:textAlignment w:val="auto"/>
        <w:rPr>
          <w:rFonts w:hint="eastAsia"/>
          <w:color w:val="auto"/>
          <w:highlight w:val="none"/>
          <w:lang w:eastAsia="zh-CN"/>
        </w:rPr>
      </w:pPr>
      <w:r>
        <w:rPr>
          <w:rFonts w:hint="eastAsia"/>
          <w:color w:val="auto"/>
          <w:highlight w:val="none"/>
        </w:rPr>
        <w:t>“退耕还林达标率”指标，预期指标值为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firstLine="560"/>
        <w:textAlignment w:val="auto"/>
        <w:rPr>
          <w:rFonts w:hint="eastAsia"/>
          <w:highlight w:val="none"/>
          <w:lang w:eastAsia="zh-CN"/>
        </w:rPr>
      </w:pPr>
      <w:r>
        <w:rPr>
          <w:rFonts w:hint="eastAsia"/>
          <w:color w:val="auto"/>
          <w:highlight w:val="none"/>
        </w:rPr>
        <w:t>“退耕还林地合格率（株数保存率）”指标，预期指标值为</w:t>
      </w:r>
      <w:r>
        <w:rPr>
          <w:rFonts w:hint="eastAsia"/>
          <w:color w:val="auto"/>
          <w:highlight w:val="none"/>
          <w:lang w:val="en-US" w:eastAsia="zh-CN"/>
        </w:rPr>
        <w:t>大于等于65%</w:t>
      </w:r>
      <w:r>
        <w:rPr>
          <w:rFonts w:hint="eastAsia"/>
          <w:color w:val="auto"/>
          <w:highlight w:val="none"/>
          <w:lang w:eastAsia="zh-CN"/>
        </w:rPr>
        <w:t>。</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pageBreakBefore w:val="0"/>
        <w:kinsoku/>
        <w:wordWrap/>
        <w:topLinePunct w:val="0"/>
        <w:autoSpaceDE/>
        <w:autoSpaceDN/>
        <w:bidi w:val="0"/>
        <w:spacing w:line="560" w:lineRule="exact"/>
        <w:ind w:firstLine="560"/>
        <w:textAlignment w:val="auto"/>
        <w:rPr>
          <w:rFonts w:hint="eastAsia"/>
          <w:color w:val="auto"/>
          <w:highlight w:val="none"/>
          <w:lang w:eastAsia="zh-CN"/>
        </w:rPr>
      </w:pPr>
      <w:r>
        <w:rPr>
          <w:rFonts w:hint="eastAsia"/>
          <w:color w:val="auto"/>
          <w:highlight w:val="none"/>
        </w:rPr>
        <w:t>“项目及时完成率”指标，预期指标值为</w:t>
      </w:r>
      <w:r>
        <w:rPr>
          <w:rFonts w:hint="eastAsia"/>
          <w:color w:val="auto"/>
          <w:highlight w:val="none"/>
          <w:lang w:val="en-US" w:eastAsia="zh-CN"/>
        </w:rPr>
        <w:t>大于等于85%</w:t>
      </w:r>
      <w:r>
        <w:rPr>
          <w:rFonts w:hint="eastAsia"/>
          <w:color w:val="auto"/>
          <w:highlight w:val="none"/>
          <w:lang w:eastAsia="zh-CN"/>
        </w:rPr>
        <w:t>。</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④成本指标</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“新一轮退耕还林还草延长期补助标准”指标，预期指标值为</w:t>
      </w:r>
      <w:r>
        <w:rPr>
          <w:rFonts w:hint="eastAsia"/>
          <w:color w:val="auto"/>
          <w:highlight w:val="none"/>
          <w:lang w:val="en-US" w:eastAsia="zh-CN"/>
        </w:rPr>
        <w:t>1</w:t>
      </w:r>
      <w:r>
        <w:rPr>
          <w:rFonts w:hint="eastAsia"/>
          <w:color w:val="auto"/>
          <w:highlight w:val="none"/>
        </w:rPr>
        <w:t>00元/亩；</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（2）项目效益目标</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效益指标</w:t>
      </w:r>
    </w:p>
    <w:p>
      <w:pPr>
        <w:pageBreakBefore w:val="0"/>
        <w:kinsoku/>
        <w:wordWrap/>
        <w:topLinePunct w:val="0"/>
        <w:autoSpaceDE/>
        <w:autoSpaceDN/>
        <w:bidi w:val="0"/>
        <w:spacing w:line="560" w:lineRule="exact"/>
        <w:ind w:firstLine="560"/>
        <w:textAlignment w:val="auto"/>
        <w:rPr>
          <w:rFonts w:hint="eastAsia"/>
          <w:color w:val="auto"/>
          <w:highlight w:val="none"/>
          <w:lang w:eastAsia="zh-CN"/>
        </w:rPr>
      </w:pPr>
      <w:r>
        <w:rPr>
          <w:rFonts w:hint="eastAsia"/>
          <w:color w:val="auto"/>
          <w:highlight w:val="none"/>
        </w:rPr>
        <w:t>“增加农户收入”指标，预期指标值为</w:t>
      </w:r>
      <w:r>
        <w:rPr>
          <w:rFonts w:hint="eastAsia"/>
          <w:color w:val="auto"/>
          <w:highlight w:val="none"/>
          <w:lang w:eastAsia="zh-CN"/>
        </w:rPr>
        <w:t>100元/亩。</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lang w:val="en-US" w:eastAsia="zh-CN"/>
        </w:rPr>
        <w:t>②</w:t>
      </w:r>
      <w:r>
        <w:rPr>
          <w:rFonts w:hint="eastAsia"/>
          <w:color w:val="auto"/>
          <w:highlight w:val="none"/>
        </w:rPr>
        <w:t>社会效益指标</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color w:val="auto"/>
          <w:highlight w:val="none"/>
        </w:rPr>
        <w:t>“促进生态改善，农民增收和经济发展效果”指标，预期指标值为</w:t>
      </w:r>
      <w:r>
        <w:rPr>
          <w:rFonts w:hint="eastAsia"/>
          <w:color w:val="auto"/>
          <w:highlight w:val="none"/>
          <w:lang w:eastAsia="zh-CN"/>
        </w:rPr>
        <w:t>有效</w:t>
      </w:r>
      <w:r>
        <w:rPr>
          <w:rFonts w:hint="eastAsia"/>
          <w:color w:val="auto"/>
          <w:highlight w:val="none"/>
          <w:lang w:val="en-US" w:eastAsia="zh-CN"/>
        </w:rPr>
        <w:t>促进</w:t>
      </w:r>
      <w:r>
        <w:rPr>
          <w:rFonts w:hint="eastAsia"/>
          <w:color w:val="auto"/>
          <w:highlight w:val="none"/>
        </w:rPr>
        <w:t>。</w:t>
      </w:r>
    </w:p>
    <w:p>
      <w:pPr>
        <w:pageBreakBefore w:val="0"/>
        <w:kinsoku/>
        <w:wordWrap/>
        <w:topLinePunct w:val="0"/>
        <w:autoSpaceDE/>
        <w:autoSpaceDN/>
        <w:bidi w:val="0"/>
        <w:spacing w:line="560" w:lineRule="exact"/>
        <w:ind w:firstLine="560"/>
        <w:textAlignment w:val="auto"/>
        <w:rPr>
          <w:rFonts w:hint="eastAsia"/>
          <w:highlight w:val="none"/>
        </w:rPr>
      </w:pPr>
      <w:r>
        <w:rPr>
          <w:rFonts w:hint="eastAsia"/>
          <w:color w:val="auto"/>
          <w:highlight w:val="none"/>
        </w:rPr>
        <w:t>“长期持续发挥生态作用”指标，预期指标值为</w:t>
      </w:r>
      <w:r>
        <w:rPr>
          <w:rFonts w:hint="eastAsia"/>
          <w:color w:val="auto"/>
          <w:highlight w:val="none"/>
          <w:lang w:val="en-US" w:eastAsia="zh-CN"/>
        </w:rPr>
        <w:t>长期发挥</w:t>
      </w:r>
      <w:r>
        <w:rPr>
          <w:rFonts w:hint="eastAsia"/>
          <w:color w:val="auto"/>
          <w:highlight w:val="none"/>
        </w:rPr>
        <w:t>。</w:t>
      </w:r>
    </w:p>
    <w:p>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③</w:t>
      </w:r>
      <w:r>
        <w:rPr>
          <w:rFonts w:hint="eastAsia"/>
          <w:color w:val="auto"/>
          <w:highlight w:val="none"/>
          <w:lang w:eastAsia="zh-CN"/>
        </w:rPr>
        <w:t>生态效益</w:t>
      </w:r>
      <w:r>
        <w:rPr>
          <w:rFonts w:hint="eastAsia"/>
          <w:color w:val="auto"/>
          <w:highlight w:val="none"/>
          <w:lang w:val="en-US" w:eastAsia="zh-CN"/>
        </w:rPr>
        <w:t>指标</w:t>
      </w:r>
    </w:p>
    <w:p>
      <w:pPr>
        <w:pageBreakBefore w:val="0"/>
        <w:kinsoku/>
        <w:wordWrap/>
        <w:topLinePunct w:val="0"/>
        <w:autoSpaceDE/>
        <w:autoSpaceDN/>
        <w:bidi w:val="0"/>
        <w:spacing w:line="560" w:lineRule="exact"/>
        <w:ind w:firstLine="560"/>
        <w:textAlignment w:val="auto"/>
        <w:rPr>
          <w:rFonts w:hint="eastAsia"/>
          <w:color w:val="auto"/>
          <w:highlight w:val="none"/>
          <w:lang w:eastAsia="zh-CN"/>
        </w:rPr>
      </w:pPr>
      <w:r>
        <w:rPr>
          <w:rFonts w:hint="eastAsia"/>
          <w:color w:val="auto"/>
          <w:highlight w:val="none"/>
        </w:rPr>
        <w:t>“减少水土流失，改善生态环境”指标，预期指标值为</w:t>
      </w:r>
      <w:r>
        <w:rPr>
          <w:rFonts w:hint="eastAsia"/>
          <w:color w:val="auto"/>
          <w:highlight w:val="none"/>
          <w:lang w:val="en-US" w:eastAsia="zh-CN"/>
        </w:rPr>
        <w:t>有效保护</w:t>
      </w:r>
      <w:r>
        <w:rPr>
          <w:rFonts w:hint="eastAsia"/>
          <w:color w:val="auto"/>
          <w:highlight w:val="none"/>
          <w:lang w:eastAsia="zh-CN"/>
        </w:rPr>
        <w:t>。</w:t>
      </w:r>
    </w:p>
    <w:p>
      <w:pPr>
        <w:pageBreakBefore w:val="0"/>
        <w:kinsoku/>
        <w:wordWrap/>
        <w:topLinePunct w:val="0"/>
        <w:autoSpaceDE/>
        <w:autoSpaceDN/>
        <w:bidi w:val="0"/>
        <w:spacing w:line="560" w:lineRule="exact"/>
        <w:ind w:firstLine="560"/>
        <w:textAlignment w:val="auto"/>
        <w:rPr>
          <w:rFonts w:hint="default"/>
          <w:color w:val="auto"/>
          <w:highlight w:val="none"/>
          <w:lang w:val="en-US" w:eastAsia="zh-CN"/>
        </w:rPr>
      </w:pPr>
      <w:r>
        <w:rPr>
          <w:rFonts w:hint="eastAsia"/>
          <w:color w:val="auto"/>
          <w:highlight w:val="none"/>
        </w:rPr>
        <w:t>④</w:t>
      </w:r>
      <w:r>
        <w:rPr>
          <w:rFonts w:hint="eastAsia"/>
          <w:color w:val="auto"/>
          <w:highlight w:val="none"/>
          <w:lang w:eastAsia="zh-CN"/>
        </w:rPr>
        <w:t>可持续影响</w:t>
      </w:r>
      <w:r>
        <w:rPr>
          <w:rFonts w:hint="eastAsia"/>
          <w:color w:val="auto"/>
          <w:highlight w:val="none"/>
        </w:rPr>
        <w:t>指标</w:t>
      </w:r>
    </w:p>
    <w:p>
      <w:pPr>
        <w:pageBreakBefore w:val="0"/>
        <w:kinsoku/>
        <w:wordWrap/>
        <w:topLinePunct w:val="0"/>
        <w:autoSpaceDE/>
        <w:autoSpaceDN/>
        <w:bidi w:val="0"/>
        <w:spacing w:line="560" w:lineRule="exact"/>
        <w:ind w:firstLine="560"/>
        <w:textAlignment w:val="auto"/>
        <w:rPr>
          <w:rFonts w:hint="eastAsia"/>
          <w:color w:val="auto"/>
          <w:highlight w:val="none"/>
          <w:lang w:eastAsia="zh-CN"/>
        </w:rPr>
      </w:pPr>
      <w:r>
        <w:rPr>
          <w:rFonts w:hint="eastAsia"/>
          <w:color w:val="auto"/>
          <w:highlight w:val="none"/>
        </w:rPr>
        <w:t>“</w:t>
      </w:r>
      <w:r>
        <w:rPr>
          <w:rFonts w:hint="eastAsia"/>
          <w:highlight w:val="none"/>
          <w:lang w:eastAsia="zh-CN"/>
        </w:rPr>
        <w:t>提升农民群众对于改善和保护人居环境的认识程度</w:t>
      </w:r>
      <w:r>
        <w:rPr>
          <w:rFonts w:hint="eastAsia"/>
          <w:color w:val="auto"/>
          <w:highlight w:val="none"/>
        </w:rPr>
        <w:t>”指标，预期指标值为</w:t>
      </w:r>
      <w:r>
        <w:rPr>
          <w:rFonts w:hint="eastAsia"/>
          <w:color w:val="auto"/>
          <w:highlight w:val="none"/>
          <w:lang w:eastAsia="zh-CN"/>
        </w:rPr>
        <w:t>有效提升。</w:t>
      </w:r>
    </w:p>
    <w:p>
      <w:pPr>
        <w:pageBreakBefore w:val="0"/>
        <w:kinsoku/>
        <w:wordWrap/>
        <w:topLinePunct w:val="0"/>
        <w:autoSpaceDE/>
        <w:autoSpaceDN/>
        <w:bidi w:val="0"/>
        <w:spacing w:line="560" w:lineRule="exact"/>
        <w:ind w:firstLine="562"/>
        <w:textAlignment w:val="auto"/>
        <w:rPr>
          <w:rFonts w:hint="eastAsia"/>
          <w:color w:val="auto"/>
          <w:highlight w:val="none"/>
        </w:rPr>
      </w:pPr>
      <w:r>
        <w:rPr>
          <w:rFonts w:hint="eastAsia" w:ascii="仿宋" w:hAnsi="仿宋" w:eastAsia="仿宋"/>
          <w:b/>
          <w:color w:val="auto"/>
          <w:highlight w:val="none"/>
        </w:rPr>
        <w:t>（3）相关满意度目标</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①满意度指标</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“退耕农户满意度”指标，预期指标值为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r>
        <w:rPr>
          <w:rFonts w:hint="eastAsia"/>
          <w:color w:val="auto"/>
          <w:highlight w:val="none"/>
          <w:lang w:eastAsia="zh-CN"/>
        </w:rPr>
        <w:t>。</w:t>
      </w:r>
    </w:p>
    <w:p>
      <w:pPr>
        <w:pStyle w:val="3"/>
        <w:pageBreakBefore w:val="0"/>
        <w:kinsoku/>
        <w:wordWrap/>
        <w:topLinePunct w:val="0"/>
        <w:autoSpaceDE/>
        <w:autoSpaceDN/>
        <w:bidi w:val="0"/>
        <w:spacing w:line="560" w:lineRule="exact"/>
        <w:ind w:firstLine="640"/>
        <w:textAlignment w:val="auto"/>
        <w:rPr>
          <w:color w:val="auto"/>
          <w:highlight w:val="none"/>
        </w:rPr>
      </w:pPr>
      <w:r>
        <w:rPr>
          <w:rFonts w:hint="eastAsia"/>
          <w:color w:val="auto"/>
          <w:highlight w:val="none"/>
        </w:rPr>
        <w:t>二、绩效评价工作开展情况</w:t>
      </w:r>
    </w:p>
    <w:p>
      <w:pPr>
        <w:pStyle w:val="4"/>
        <w:pageBreakBefore w:val="0"/>
        <w:numPr>
          <w:ilvl w:val="0"/>
          <w:numId w:val="2"/>
        </w:numPr>
        <w:kinsoku/>
        <w:wordWrap/>
        <w:topLinePunct w:val="0"/>
        <w:autoSpaceDE/>
        <w:autoSpaceDN/>
        <w:bidi w:val="0"/>
        <w:spacing w:line="560" w:lineRule="exact"/>
        <w:ind w:firstLine="643"/>
        <w:textAlignment w:val="auto"/>
        <w:rPr>
          <w:rFonts w:ascii="楷体" w:hAnsi="楷体" w:cs="楷体"/>
          <w:color w:val="auto"/>
          <w:szCs w:val="32"/>
          <w:highlight w:val="none"/>
        </w:rPr>
      </w:pPr>
      <w:bookmarkStart w:id="0" w:name="_Toc22169_WPSOffice_Level2"/>
      <w:bookmarkStart w:id="1" w:name="_Toc22922"/>
      <w:bookmarkStart w:id="2" w:name="_Toc480473081"/>
      <w:bookmarkStart w:id="3" w:name="_Toc5462343"/>
      <w:bookmarkStart w:id="4" w:name="_Toc12868"/>
      <w:bookmarkStart w:id="5" w:name="_Toc21664"/>
      <w:bookmarkStart w:id="6" w:name="_Toc5258"/>
      <w:bookmarkStart w:id="7" w:name="_Toc2663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2.绩效评价的对象和范围</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w:t>
      </w:r>
      <w:r>
        <w:rPr>
          <w:rFonts w:hint="eastAsia" w:ascii="Times New Roman" w:hAnsi="Times New Roman" w:cs="Times New Roman"/>
          <w:color w:val="auto"/>
          <w:highlight w:val="none"/>
          <w:lang w:eastAsia="zh-CN"/>
        </w:rPr>
        <w:t>施的</w:t>
      </w:r>
      <w:r>
        <w:rPr>
          <w:rFonts w:hint="eastAsia" w:ascii="Times New Roman" w:hAnsi="Times New Roman" w:cs="Times New Roman"/>
          <w:color w:val="auto"/>
          <w:highlight w:val="none"/>
          <w:lang w:val="en-US" w:eastAsia="zh-CN"/>
        </w:rPr>
        <w:t>托克逊县2023年林业草原改革发展资金-退耕还林延长补助</w:t>
      </w:r>
      <w:r>
        <w:rPr>
          <w:rFonts w:hint="eastAsia" w:ascii="Times New Roman" w:hAnsi="Times New Roman" w:cs="Times New Roman"/>
          <w:color w:val="auto"/>
          <w:highlight w:val="none"/>
          <w:lang w:eastAsia="zh-CN"/>
        </w:rPr>
        <w:t>开展部门绩效评价，评价核心</w:t>
      </w:r>
      <w:r>
        <w:rPr>
          <w:rFonts w:hint="eastAsia" w:ascii="Times New Roman" w:hAnsi="Times New Roman" w:cs="Times New Roman"/>
          <w:color w:val="auto"/>
          <w:highlight w:val="none"/>
          <w:lang w:val="en-US" w:eastAsia="zh-CN"/>
        </w:rPr>
        <w:t>内容</w:t>
      </w:r>
      <w:r>
        <w:rPr>
          <w:rFonts w:hint="eastAsia" w:ascii="Times New Roman" w:hAnsi="Times New Roman" w:cs="Times New Roman"/>
          <w:color w:val="auto"/>
          <w:highlight w:val="none"/>
          <w:lang w:eastAsia="zh-CN"/>
        </w:rPr>
        <w:t>为项目资金</w:t>
      </w:r>
      <w:r>
        <w:rPr>
          <w:rFonts w:hint="eastAsia" w:ascii="Times New Roman" w:hAnsi="Times New Roman" w:cs="Times New Roman"/>
          <w:color w:val="auto"/>
          <w:highlight w:val="none"/>
          <w:lang w:val="en-US" w:eastAsia="zh-CN"/>
        </w:rPr>
        <w:t>执行情况</w:t>
      </w:r>
      <w:r>
        <w:rPr>
          <w:rFonts w:hint="eastAsia" w:ascii="Times New Roman" w:hAnsi="Times New Roman" w:cs="Times New Roman"/>
          <w:color w:val="auto"/>
          <w:highlight w:val="none"/>
          <w:lang w:eastAsia="zh-CN"/>
        </w:rPr>
        <w:t>、</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pPr>
        <w:pageBreakBefore w:val="0"/>
        <w:kinsoku/>
        <w:wordWrap/>
        <w:topLinePunct w:val="0"/>
        <w:autoSpaceDE/>
        <w:autoSpaceDN/>
        <w:bidi w:val="0"/>
        <w:spacing w:line="560" w:lineRule="exact"/>
        <w:ind w:firstLine="560"/>
        <w:textAlignment w:val="auto"/>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pPr>
        <w:pStyle w:val="4"/>
        <w:pageBreakBefore w:val="0"/>
        <w:numPr>
          <w:ilvl w:val="0"/>
          <w:numId w:val="2"/>
        </w:numPr>
        <w:kinsoku/>
        <w:wordWrap/>
        <w:topLinePunct w:val="0"/>
        <w:autoSpaceDE/>
        <w:autoSpaceDN/>
        <w:bidi w:val="0"/>
        <w:spacing w:line="560" w:lineRule="exact"/>
        <w:ind w:firstLine="643"/>
        <w:textAlignment w:val="auto"/>
        <w:rPr>
          <w:color w:val="auto"/>
          <w:highlight w:val="none"/>
        </w:rPr>
      </w:pPr>
      <w:r>
        <w:rPr>
          <w:rFonts w:hint="eastAsia"/>
          <w:color w:val="auto"/>
          <w:highlight w:val="none"/>
        </w:rPr>
        <w:t>绩效评价原则、评价指标体系、评价方法评价标准</w:t>
      </w:r>
    </w:p>
    <w:p>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1.绩效评价原则</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根据以上原则，绩效评价应遵循如下要求：</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（2）保证评价结果的真实性、公正性，提高评价报告的公信力。</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pPr>
        <w:pStyle w:val="5"/>
        <w:pageBreakBefore w:val="0"/>
        <w:kinsoku/>
        <w:wordWrap/>
        <w:topLinePunct w:val="0"/>
        <w:autoSpaceDE/>
        <w:autoSpaceDN/>
        <w:bidi w:val="0"/>
        <w:spacing w:line="560" w:lineRule="exact"/>
        <w:ind w:firstLine="562"/>
        <w:textAlignment w:val="auto"/>
        <w:rPr>
          <w:color w:val="auto"/>
          <w:highlight w:val="none"/>
        </w:rPr>
      </w:pPr>
      <w:bookmarkStart w:id="8" w:name="_Toc419984722"/>
      <w:bookmarkStart w:id="9" w:name="_Toc1913"/>
      <w:bookmarkStart w:id="10" w:name="_Toc428278230"/>
      <w:bookmarkStart w:id="11" w:name="_Toc26131"/>
      <w:r>
        <w:rPr>
          <w:rFonts w:hint="eastAsia"/>
          <w:color w:val="auto"/>
          <w:highlight w:val="none"/>
        </w:rPr>
        <w:t>2.绩效评价指标体系</w:t>
      </w:r>
      <w:bookmarkEnd w:id="8"/>
      <w:bookmarkEnd w:id="9"/>
      <w:bookmarkEnd w:id="10"/>
      <w:bookmarkEnd w:id="11"/>
    </w:p>
    <w:p>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pPr>
        <w:pageBreakBefore w:val="0"/>
        <w:kinsoku/>
        <w:wordWrap/>
        <w:topLinePunct w:val="0"/>
        <w:autoSpaceDE/>
        <w:autoSpaceDN/>
        <w:bidi w:val="0"/>
        <w:spacing w:line="560" w:lineRule="exact"/>
        <w:ind w:firstLine="560"/>
        <w:textAlignment w:val="auto"/>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指标体系包括指标体系表</w:t>
      </w:r>
      <w:r>
        <w:rPr>
          <w:rFonts w:hint="eastAsia"/>
          <w:color w:val="auto"/>
          <w:highlight w:val="none"/>
          <w:lang w:val="en-US" w:eastAsia="zh-CN"/>
        </w:rPr>
        <w:t>和</w:t>
      </w:r>
      <w:r>
        <w:rPr>
          <w:rFonts w:hint="eastAsia"/>
          <w:color w:val="auto"/>
          <w:highlight w:val="none"/>
        </w:rPr>
        <w:t>综合</w:t>
      </w:r>
      <w:r>
        <w:rPr>
          <w:rFonts w:hint="eastAsia"/>
          <w:color w:val="auto"/>
          <w:highlight w:val="none"/>
          <w:lang w:val="en-US" w:eastAsia="zh-CN"/>
        </w:rPr>
        <w:t>得分表</w:t>
      </w:r>
      <w:r>
        <w:rPr>
          <w:rFonts w:hint="eastAsia"/>
          <w:color w:val="auto"/>
          <w:highlight w:val="none"/>
        </w:rPr>
        <w:t>两部分，指标体系表是支持评价的基础数据，各指标的权重由该项目绩效评价小组根据绩效评价原理和评价需求，在调研基础上依据指标的重要性制定形成。综合</w:t>
      </w:r>
      <w:r>
        <w:rPr>
          <w:rFonts w:hint="eastAsia"/>
          <w:color w:val="auto"/>
          <w:highlight w:val="none"/>
          <w:lang w:val="en-US" w:eastAsia="zh-CN"/>
        </w:rPr>
        <w:t>得分表</w:t>
      </w:r>
      <w:r>
        <w:rPr>
          <w:rFonts w:hint="eastAsia"/>
          <w:color w:val="auto"/>
          <w:highlight w:val="none"/>
        </w:rPr>
        <w:t>是</w:t>
      </w:r>
      <w:r>
        <w:rPr>
          <w:rFonts w:hint="eastAsia"/>
          <w:color w:val="auto"/>
          <w:highlight w:val="none"/>
          <w:lang w:val="en-US" w:eastAsia="zh-CN"/>
        </w:rPr>
        <w:t>项目一级指标汇总得分表</w:t>
      </w:r>
      <w:r>
        <w:rPr>
          <w:rFonts w:hint="eastAsia"/>
          <w:color w:val="auto"/>
          <w:highlight w:val="none"/>
        </w:rPr>
        <w:t>。详细指标体系见</w:t>
      </w:r>
      <w:r>
        <w:rPr>
          <w:rFonts w:hint="eastAsia"/>
          <w:color w:val="auto"/>
          <w:highlight w:val="none"/>
          <w:lang w:eastAsia="zh-CN"/>
        </w:rPr>
        <w:t>《</w:t>
      </w:r>
      <w:r>
        <w:rPr>
          <w:rFonts w:hint="eastAsia"/>
          <w:color w:val="auto"/>
          <w:highlight w:val="none"/>
        </w:rPr>
        <w:t>附件1：项目绩效评价指标体系表和项目综合得分表</w:t>
      </w:r>
      <w:r>
        <w:rPr>
          <w:rFonts w:hint="eastAsia"/>
          <w:color w:val="auto"/>
          <w:highlight w:val="none"/>
          <w:lang w:eastAsia="zh-CN"/>
        </w:rPr>
        <w:t>》</w:t>
      </w:r>
      <w:r>
        <w:rPr>
          <w:rFonts w:hint="eastAsia"/>
          <w:color w:val="auto"/>
          <w:highlight w:val="none"/>
        </w:rPr>
        <w:t>。</w:t>
      </w:r>
    </w:p>
    <w:p>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3.评价方法</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三级指标分析环节：总体采用比较法，同时辅以成本效益法、因素分析法以及公众评判法，根据不同三级指标类型进行逐项分析。</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pPr>
        <w:pStyle w:val="5"/>
        <w:pageBreakBefore w:val="0"/>
        <w:kinsoku/>
        <w:wordWrap/>
        <w:topLinePunct w:val="0"/>
        <w:autoSpaceDE/>
        <w:autoSpaceDN/>
        <w:bidi w:val="0"/>
        <w:spacing w:line="560" w:lineRule="exact"/>
        <w:ind w:firstLine="562"/>
        <w:textAlignment w:val="auto"/>
        <w:rPr>
          <w:color w:val="auto"/>
          <w:highlight w:val="none"/>
        </w:rPr>
      </w:pPr>
      <w:r>
        <w:rPr>
          <w:rFonts w:hint="eastAsia"/>
          <w:color w:val="auto"/>
          <w:highlight w:val="none"/>
        </w:rPr>
        <w:t>4.评价标准</w:t>
      </w:r>
    </w:p>
    <w:p>
      <w:pPr>
        <w:pageBreakBefore w:val="0"/>
        <w:kinsoku/>
        <w:wordWrap/>
        <w:topLinePunct w:val="0"/>
        <w:autoSpaceDE/>
        <w:autoSpaceDN/>
        <w:bidi w:val="0"/>
        <w:spacing w:line="560" w:lineRule="exact"/>
        <w:ind w:firstLine="560"/>
        <w:textAlignment w:val="auto"/>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pageBreakBefore w:val="0"/>
        <w:kinsoku/>
        <w:wordWrap/>
        <w:topLinePunct w:val="0"/>
        <w:autoSpaceDE/>
        <w:autoSpaceDN/>
        <w:bidi w:val="0"/>
        <w:spacing w:line="560" w:lineRule="exact"/>
        <w:ind w:firstLine="56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pPr>
        <w:pageBreakBefore w:val="0"/>
        <w:kinsoku/>
        <w:wordWrap/>
        <w:topLinePunct w:val="0"/>
        <w:autoSpaceDE/>
        <w:autoSpaceDN/>
        <w:bidi w:val="0"/>
        <w:spacing w:line="560" w:lineRule="exact"/>
        <w:ind w:firstLine="56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pPr>
        <w:pageBreakBefore w:val="0"/>
        <w:kinsoku/>
        <w:wordWrap/>
        <w:topLinePunct w:val="0"/>
        <w:autoSpaceDE/>
        <w:autoSpaceDN/>
        <w:bidi w:val="0"/>
        <w:spacing w:line="560" w:lineRule="exact"/>
        <w:ind w:firstLine="56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）财政部门和预算部门确认或认可的其他标准。</w:t>
      </w:r>
    </w:p>
    <w:p>
      <w:pPr>
        <w:pStyle w:val="4"/>
        <w:pageBreakBefore w:val="0"/>
        <w:numPr>
          <w:ilvl w:val="0"/>
          <w:numId w:val="2"/>
        </w:numPr>
        <w:kinsoku/>
        <w:wordWrap/>
        <w:topLinePunct w:val="0"/>
        <w:autoSpaceDE/>
        <w:autoSpaceDN/>
        <w:bidi w:val="0"/>
        <w:spacing w:line="560" w:lineRule="exact"/>
        <w:ind w:firstLine="643"/>
        <w:textAlignment w:val="auto"/>
        <w:rPr>
          <w:color w:val="auto"/>
          <w:highlight w:val="none"/>
        </w:rPr>
      </w:pPr>
      <w:r>
        <w:rPr>
          <w:rFonts w:hint="eastAsia"/>
          <w:color w:val="auto"/>
          <w:highlight w:val="none"/>
        </w:rPr>
        <w:t>绩效评价工作过程</w:t>
      </w:r>
    </w:p>
    <w:p>
      <w:pPr>
        <w:pageBreakBefore w:val="0"/>
        <w:kinsoku/>
        <w:wordWrap/>
        <w:topLinePunct w:val="0"/>
        <w:autoSpaceDE/>
        <w:autoSpaceDN/>
        <w:bidi w:val="0"/>
        <w:spacing w:line="560" w:lineRule="exact"/>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ascii="Times New Roman" w:eastAsia="仿宋_GB2312"/>
          <w:color w:val="auto"/>
          <w:highlight w:val="none"/>
          <w:lang w:val="en-US" w:eastAsia="zh-CN"/>
        </w:rPr>
        <w:t>202</w:t>
      </w:r>
      <w:r>
        <w:rPr>
          <w:rFonts w:hint="eastAsia"/>
          <w:color w:val="auto"/>
          <w:highlight w:val="none"/>
          <w:lang w:val="en-US" w:eastAsia="zh-CN"/>
        </w:rPr>
        <w:t>4</w:t>
      </w:r>
      <w:r>
        <w:rPr>
          <w:rFonts w:hint="eastAsia" w:ascii="Times New Roman" w:eastAsia="仿宋_GB2312"/>
          <w:color w:val="auto"/>
          <w:highlight w:val="none"/>
          <w:lang w:val="en-US" w:eastAsia="zh-CN"/>
        </w:rPr>
        <w:t>年</w:t>
      </w:r>
      <w:r>
        <w:rPr>
          <w:rFonts w:hint="eastAsia"/>
          <w:color w:val="auto"/>
          <w:highlight w:val="none"/>
          <w:lang w:val="en-US" w:eastAsia="zh-CN"/>
        </w:rPr>
        <w:t>2</w:t>
      </w:r>
      <w:r>
        <w:rPr>
          <w:rFonts w:hint="eastAsia" w:ascii="Times New Roman" w:eastAsia="仿宋_GB2312"/>
          <w:color w:val="auto"/>
          <w:highlight w:val="none"/>
          <w:lang w:val="en-US" w:eastAsia="zh-CN"/>
        </w:rPr>
        <w:t>月</w:t>
      </w:r>
      <w:r>
        <w:rPr>
          <w:rFonts w:hint="eastAsia"/>
          <w:color w:val="auto"/>
          <w:highlight w:val="none"/>
          <w:lang w:val="en-US" w:eastAsia="zh-CN"/>
        </w:rPr>
        <w:t>7</w:t>
      </w:r>
      <w:r>
        <w:rPr>
          <w:rFonts w:hint="eastAsia" w:ascii="Times New Roman" w:eastAsia="仿宋_GB2312"/>
          <w:color w:val="auto"/>
          <w:highlight w:val="none"/>
          <w:lang w:val="en-US" w:eastAsia="zh-CN"/>
        </w:rPr>
        <w:t>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ascii="Times New Roman" w:eastAsia="仿宋_GB2312"/>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pageBreakBefore w:val="0"/>
        <w:kinsoku/>
        <w:wordWrap/>
        <w:topLinePunct w:val="0"/>
        <w:autoSpaceDE/>
        <w:autoSpaceDN/>
        <w:bidi w:val="0"/>
        <w:spacing w:line="560" w:lineRule="exact"/>
        <w:ind w:firstLine="560"/>
        <w:textAlignment w:val="auto"/>
        <w:rPr>
          <w:rFonts w:hint="default"/>
          <w:color w:val="auto"/>
          <w:highlight w:val="none"/>
          <w:lang w:val="en-US" w:eastAsia="zh-CN"/>
        </w:rPr>
      </w:pPr>
      <w:r>
        <w:rPr>
          <w:rFonts w:hint="eastAsia" w:ascii="Times New Roman" w:eastAsia="仿宋_GB2312"/>
          <w:color w:val="auto"/>
          <w:highlight w:val="none"/>
          <w:lang w:val="en-US" w:eastAsia="zh-CN"/>
        </w:rPr>
        <w:t>（1）评价组组长：</w:t>
      </w:r>
      <w:r>
        <w:rPr>
          <w:rFonts w:hint="eastAsia"/>
          <w:color w:val="auto"/>
          <w:highlight w:val="none"/>
          <w:lang w:val="en-US" w:eastAsia="zh-CN"/>
        </w:rPr>
        <w:t>童振荣</w:t>
      </w:r>
      <w:r>
        <w:rPr>
          <w:rFonts w:hint="eastAsia" w:ascii="Times New Roman" w:eastAsia="仿宋_GB2312"/>
          <w:color w:val="auto"/>
          <w:highlight w:val="none"/>
          <w:lang w:val="en-US" w:eastAsia="zh-CN"/>
        </w:rPr>
        <w:t>，</w:t>
      </w:r>
      <w:r>
        <w:rPr>
          <w:rFonts w:hint="eastAsia"/>
          <w:color w:val="auto"/>
          <w:highlight w:val="none"/>
        </w:rPr>
        <w:t>主要负责</w:t>
      </w:r>
      <w:r>
        <w:rPr>
          <w:rFonts w:hint="eastAsia" w:ascii="Times New Roman" w:eastAsia="仿宋_GB2312"/>
          <w:color w:val="auto"/>
          <w:highlight w:val="none"/>
          <w:lang w:val="en-US" w:eastAsia="zh-CN"/>
        </w:rPr>
        <w:t>确定绩效评价</w:t>
      </w:r>
      <w:r>
        <w:rPr>
          <w:rFonts w:hint="eastAsia" w:ascii="Times New Roman" w:eastAsia="仿宋_GB2312"/>
          <w:color w:val="auto"/>
          <w:highlight w:val="none"/>
          <w:lang w:val="en-US" w:eastAsia="zh-Hans"/>
        </w:rPr>
        <w:t>模</w:t>
      </w:r>
      <w:r>
        <w:rPr>
          <w:rFonts w:hint="eastAsia" w:ascii="Times New Roman" w:eastAsia="仿宋_GB2312"/>
          <w:color w:val="auto"/>
          <w:highlight w:val="none"/>
          <w:lang w:val="en-US" w:eastAsia="zh-CN"/>
        </w:rPr>
        <w:t>板</w:t>
      </w:r>
      <w:r>
        <w:rPr>
          <w:rFonts w:hint="eastAsia"/>
          <w:color w:val="auto"/>
          <w:highlight w:val="none"/>
        </w:rPr>
        <w:t>、总体协调沟通、全盘统筹、</w:t>
      </w:r>
      <w:r>
        <w:rPr>
          <w:rFonts w:hint="eastAsia" w:ascii="Times New Roman" w:eastAsia="仿宋_GB2312"/>
          <w:color w:val="auto"/>
          <w:highlight w:val="none"/>
          <w:lang w:val="en-US" w:eastAsia="zh-CN"/>
        </w:rPr>
        <w:t>总体</w:t>
      </w:r>
      <w:r>
        <w:rPr>
          <w:rFonts w:hint="eastAsia"/>
          <w:color w:val="auto"/>
          <w:highlight w:val="none"/>
        </w:rPr>
        <w:t>质量把关等工作</w:t>
      </w:r>
      <w:r>
        <w:rPr>
          <w:rFonts w:hint="eastAsia" w:ascii="Times New Roman" w:eastAsia="仿宋_GB2312"/>
          <w:color w:val="auto"/>
          <w:highlight w:val="none"/>
          <w:lang w:val="en-US" w:eastAsia="zh-CN"/>
        </w:rPr>
        <w:t>。</w:t>
      </w:r>
    </w:p>
    <w:p>
      <w:pPr>
        <w:pageBreakBefore w:val="0"/>
        <w:kinsoku/>
        <w:wordWrap/>
        <w:topLinePunct w:val="0"/>
        <w:autoSpaceDE/>
        <w:autoSpaceDN/>
        <w:bidi w:val="0"/>
        <w:spacing w:line="560" w:lineRule="exact"/>
        <w:ind w:firstLine="560"/>
        <w:textAlignment w:val="auto"/>
        <w:rPr>
          <w:rFonts w:hint="eastAsia"/>
          <w:color w:val="auto"/>
          <w:highlight w:val="none"/>
          <w:lang w:val="en-US" w:eastAsia="zh-CN"/>
        </w:rPr>
      </w:pPr>
      <w:r>
        <w:rPr>
          <w:rFonts w:hint="eastAsia" w:ascii="Times New Roman" w:eastAsia="仿宋_GB2312"/>
          <w:color w:val="auto"/>
          <w:highlight w:val="none"/>
          <w:lang w:val="en-US" w:eastAsia="zh-CN"/>
        </w:rPr>
        <w:t>（2）评价组成员：</w:t>
      </w:r>
      <w:r>
        <w:rPr>
          <w:rFonts w:hint="eastAsia"/>
          <w:color w:val="auto"/>
          <w:highlight w:val="none"/>
          <w:lang w:val="en-US" w:eastAsia="zh-CN"/>
        </w:rPr>
        <w:t>马合木提·卡德尔</w:t>
      </w:r>
      <w:r>
        <w:rPr>
          <w:rFonts w:hint="eastAsia" w:ascii="Times New Roman" w:eastAsia="仿宋_GB2312"/>
          <w:color w:val="auto"/>
          <w:highlight w:val="none"/>
          <w:lang w:val="en-US" w:eastAsia="zh-CN"/>
        </w:rPr>
        <w:t>，</w:t>
      </w:r>
      <w:r>
        <w:rPr>
          <w:rFonts w:hint="eastAsia"/>
          <w:color w:val="auto"/>
          <w:highlight w:val="none"/>
        </w:rPr>
        <w:t>主要负责绩效评价现场督导，对评价组成员的评价检查工作提供技术指导与支持，对实效评价工作质量把关</w:t>
      </w:r>
      <w:r>
        <w:rPr>
          <w:rFonts w:hint="eastAsia" w:ascii="Times New Roman" w:eastAsia="仿宋_GB2312"/>
          <w:color w:val="auto"/>
          <w:highlight w:val="none"/>
          <w:lang w:val="en-US" w:eastAsia="zh-CN"/>
        </w:rPr>
        <w:t>。</w:t>
      </w:r>
    </w:p>
    <w:p>
      <w:pPr>
        <w:pageBreakBefore w:val="0"/>
        <w:kinsoku/>
        <w:wordWrap/>
        <w:topLinePunct w:val="0"/>
        <w:autoSpaceDE/>
        <w:autoSpaceDN/>
        <w:bidi w:val="0"/>
        <w:spacing w:line="560" w:lineRule="exact"/>
        <w:ind w:firstLine="560"/>
        <w:textAlignment w:val="auto"/>
        <w:rPr>
          <w:rFonts w:hint="eastAsia" w:ascii="Times New Roman" w:hAnsi="Times New Roman" w:cs="Times New Roman"/>
          <w:color w:val="auto"/>
          <w:highlight w:val="none"/>
          <w:lang w:val="en-US" w:eastAsia="zh-CN"/>
        </w:rPr>
      </w:pPr>
      <w:r>
        <w:rPr>
          <w:rFonts w:hint="eastAsia" w:ascii="Times New Roman" w:eastAsia="仿宋_GB2312"/>
          <w:color w:val="auto"/>
          <w:highlight w:val="none"/>
          <w:lang w:val="en-US" w:eastAsia="zh-CN"/>
        </w:rPr>
        <w:t>（3）评价组成员：</w:t>
      </w:r>
      <w:r>
        <w:rPr>
          <w:rFonts w:hint="eastAsia"/>
          <w:color w:val="auto"/>
          <w:highlight w:val="none"/>
          <w:lang w:val="en-US" w:eastAsia="zh-CN"/>
        </w:rPr>
        <w:t>孙琳玲</w:t>
      </w:r>
      <w:r>
        <w:rPr>
          <w:rFonts w:hint="eastAsia" w:ascii="Times New Roman" w:eastAsia="仿宋_GB2312"/>
          <w:color w:val="auto"/>
          <w:highlight w:val="none"/>
          <w:lang w:val="en-US" w:eastAsia="zh-CN"/>
        </w:rPr>
        <w:t>，</w:t>
      </w:r>
      <w:r>
        <w:rPr>
          <w:rFonts w:hint="eastAsia"/>
          <w:color w:val="auto"/>
          <w:highlight w:val="none"/>
        </w:rPr>
        <w:t>主要负责现场调研工作，完成收集整理资料、审核数据、填报绩效评价内容等工作</w:t>
      </w:r>
      <w:r>
        <w:rPr>
          <w:rFonts w:hint="eastAsia" w:ascii="Times New Roman" w:eastAsia="仿宋_GB2312"/>
          <w:color w:val="auto"/>
          <w:highlight w:val="none"/>
          <w:lang w:val="en-US" w:eastAsia="zh-CN"/>
        </w:rPr>
        <w:t>。</w:t>
      </w:r>
    </w:p>
    <w:p>
      <w:pPr>
        <w:pageBreakBefore w:val="0"/>
        <w:kinsoku/>
        <w:wordWrap/>
        <w:topLinePunct w:val="0"/>
        <w:autoSpaceDE/>
        <w:autoSpaceDN/>
        <w:bidi w:val="0"/>
        <w:spacing w:line="560" w:lineRule="exact"/>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eastAsia="仿宋_GB2312"/>
          <w:color w:val="auto"/>
          <w:highlight w:val="none"/>
          <w:lang w:eastAsia="zh-CN"/>
        </w:rPr>
        <w:t>202</w:t>
      </w:r>
      <w:r>
        <w:rPr>
          <w:rFonts w:hint="eastAsia"/>
          <w:color w:val="auto"/>
          <w:highlight w:val="none"/>
          <w:lang w:val="en-US" w:eastAsia="zh-CN"/>
        </w:rPr>
        <w:t>4</w:t>
      </w:r>
      <w:r>
        <w:rPr>
          <w:rFonts w:hint="eastAsia" w:eastAsia="仿宋_GB2312"/>
          <w:color w:val="auto"/>
          <w:highlight w:val="none"/>
          <w:lang w:eastAsia="zh-CN"/>
        </w:rPr>
        <w:t>年</w:t>
      </w:r>
      <w:r>
        <w:rPr>
          <w:rFonts w:hint="eastAsia"/>
          <w:color w:val="auto"/>
          <w:highlight w:val="none"/>
          <w:lang w:val="en-US" w:eastAsia="zh-CN"/>
        </w:rPr>
        <w:t>2</w:t>
      </w:r>
      <w:r>
        <w:rPr>
          <w:rFonts w:hint="eastAsia" w:eastAsia="仿宋_GB2312"/>
          <w:color w:val="auto"/>
          <w:highlight w:val="none"/>
          <w:lang w:eastAsia="zh-CN"/>
        </w:rPr>
        <w:t>月</w:t>
      </w:r>
      <w:r>
        <w:rPr>
          <w:rFonts w:hint="eastAsia"/>
          <w:color w:val="auto"/>
          <w:highlight w:val="none"/>
          <w:lang w:val="en-US" w:eastAsia="zh-CN"/>
        </w:rPr>
        <w:t>26</w:t>
      </w:r>
      <w:r>
        <w:rPr>
          <w:rFonts w:hint="eastAsia" w:eastAsia="仿宋_GB2312"/>
          <w:color w:val="auto"/>
          <w:highlight w:val="none"/>
          <w:lang w:eastAsia="zh-CN"/>
        </w:rPr>
        <w:t>日-</w:t>
      </w:r>
      <w:r>
        <w:rPr>
          <w:rFonts w:hint="eastAsia"/>
          <w:color w:val="auto"/>
          <w:highlight w:val="none"/>
          <w:lang w:val="en-US" w:eastAsia="zh-CN"/>
        </w:rPr>
        <w:t>3</w:t>
      </w:r>
      <w:r>
        <w:rPr>
          <w:rFonts w:hint="eastAsia" w:eastAsia="仿宋_GB2312"/>
          <w:color w:val="auto"/>
          <w:highlight w:val="none"/>
          <w:lang w:eastAsia="zh-CN"/>
        </w:rPr>
        <w:t>月</w:t>
      </w:r>
      <w:r>
        <w:rPr>
          <w:rFonts w:hint="eastAsia" w:ascii="Times New Roman" w:eastAsia="仿宋_GB2312"/>
          <w:color w:val="auto"/>
          <w:highlight w:val="none"/>
          <w:lang w:val="en-US" w:eastAsia="zh-CN"/>
        </w:rPr>
        <w:t>1</w:t>
      </w:r>
      <w:r>
        <w:rPr>
          <w:rFonts w:hint="eastAsia" w:eastAsia="仿宋_GB2312"/>
          <w:color w:val="auto"/>
          <w:highlight w:val="none"/>
          <w:lang w:eastAsia="zh-CN"/>
        </w:rPr>
        <w:t>日，评价工作进入实施阶段。</w:t>
      </w:r>
      <w:r>
        <w:rPr>
          <w:rFonts w:hint="eastAsia"/>
          <w:color w:val="auto"/>
          <w:highlight w:val="none"/>
        </w:rPr>
        <w:t>经评价组通过</w:t>
      </w:r>
      <w:r>
        <w:rPr>
          <w:rFonts w:hint="eastAsia" w:eastAsia="仿宋_GB2312"/>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pageBreakBefore w:val="0"/>
        <w:kinsoku/>
        <w:wordWrap/>
        <w:topLinePunct w:val="0"/>
        <w:autoSpaceDE/>
        <w:autoSpaceDN/>
        <w:bidi w:val="0"/>
        <w:spacing w:line="560" w:lineRule="exact"/>
        <w:textAlignment w:val="auto"/>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eastAsia="仿宋_GB2312"/>
          <w:color w:val="auto"/>
          <w:highlight w:val="none"/>
          <w:lang w:eastAsia="zh-CN"/>
        </w:rPr>
        <w:t>202</w:t>
      </w:r>
      <w:r>
        <w:rPr>
          <w:rFonts w:hint="eastAsia"/>
          <w:color w:val="auto"/>
          <w:highlight w:val="none"/>
          <w:lang w:val="en-US" w:eastAsia="zh-CN"/>
        </w:rPr>
        <w:t>4</w:t>
      </w:r>
      <w:r>
        <w:rPr>
          <w:rFonts w:hint="eastAsia" w:eastAsia="仿宋_GB2312"/>
          <w:color w:val="auto"/>
          <w:highlight w:val="none"/>
          <w:lang w:eastAsia="zh-CN"/>
        </w:rPr>
        <w:t>年</w:t>
      </w:r>
      <w:r>
        <w:rPr>
          <w:rFonts w:hint="eastAsia"/>
          <w:color w:val="auto"/>
          <w:highlight w:val="none"/>
          <w:lang w:val="en-US" w:eastAsia="zh-CN"/>
        </w:rPr>
        <w:t>3</w:t>
      </w:r>
      <w:r>
        <w:rPr>
          <w:rFonts w:hint="eastAsia" w:eastAsia="仿宋_GB2312"/>
          <w:color w:val="auto"/>
          <w:highlight w:val="none"/>
          <w:lang w:eastAsia="zh-CN"/>
        </w:rPr>
        <w:t>月</w:t>
      </w:r>
      <w:r>
        <w:rPr>
          <w:rFonts w:hint="eastAsia"/>
          <w:color w:val="auto"/>
          <w:highlight w:val="none"/>
          <w:lang w:val="en-US" w:eastAsia="zh-CN"/>
        </w:rPr>
        <w:t>7</w:t>
      </w:r>
      <w:r>
        <w:rPr>
          <w:rFonts w:hint="eastAsia" w:eastAsia="仿宋_GB2312"/>
          <w:color w:val="auto"/>
          <w:highlight w:val="none"/>
          <w:lang w:eastAsia="zh-CN"/>
        </w:rPr>
        <w:t>日-</w:t>
      </w:r>
      <w:r>
        <w:rPr>
          <w:rFonts w:hint="eastAsia"/>
          <w:color w:val="auto"/>
          <w:highlight w:val="none"/>
          <w:lang w:val="en-US" w:eastAsia="zh-CN"/>
        </w:rPr>
        <w:t>3</w:t>
      </w:r>
      <w:r>
        <w:rPr>
          <w:rFonts w:hint="eastAsia" w:eastAsia="仿宋_GB2312"/>
          <w:color w:val="auto"/>
          <w:highlight w:val="none"/>
          <w:lang w:eastAsia="zh-CN"/>
        </w:rPr>
        <w:t>月</w:t>
      </w:r>
      <w:r>
        <w:rPr>
          <w:rFonts w:hint="eastAsia"/>
          <w:color w:val="auto"/>
          <w:highlight w:val="none"/>
          <w:lang w:val="en-US" w:eastAsia="zh-CN"/>
        </w:rPr>
        <w:t>15</w:t>
      </w:r>
      <w:r>
        <w:rPr>
          <w:rFonts w:hint="eastAsia" w:eastAsia="仿宋_GB2312"/>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pageBreakBefore w:val="0"/>
        <w:kinsoku/>
        <w:wordWrap/>
        <w:topLinePunct w:val="0"/>
        <w:autoSpaceDE/>
        <w:autoSpaceDN/>
        <w:bidi w:val="0"/>
        <w:spacing w:line="560" w:lineRule="exact"/>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pPr>
        <w:pageBreakBefore w:val="0"/>
        <w:kinsoku/>
        <w:wordWrap/>
        <w:topLinePunct w:val="0"/>
        <w:autoSpaceDE/>
        <w:autoSpaceDN/>
        <w:bidi w:val="0"/>
        <w:spacing w:line="560" w:lineRule="exact"/>
        <w:textAlignment w:val="auto"/>
        <w:rPr>
          <w:color w:val="auto"/>
          <w:highlight w:val="none"/>
        </w:rPr>
      </w:pPr>
      <w:r>
        <w:rPr>
          <w:rFonts w:hint="eastAsia" w:ascii="Times New Roman" w:eastAsia="仿宋_GB2312"/>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pageBreakBefore w:val="0"/>
        <w:numPr>
          <w:ilvl w:val="0"/>
          <w:numId w:val="3"/>
        </w:numPr>
        <w:kinsoku/>
        <w:wordWrap/>
        <w:topLinePunct w:val="0"/>
        <w:autoSpaceDE/>
        <w:autoSpaceDN/>
        <w:bidi w:val="0"/>
        <w:spacing w:line="560" w:lineRule="exact"/>
        <w:ind w:firstLine="640"/>
        <w:textAlignment w:val="auto"/>
        <w:rPr>
          <w:color w:val="auto"/>
          <w:highlight w:val="none"/>
        </w:rPr>
      </w:pPr>
      <w:r>
        <w:rPr>
          <w:rFonts w:hint="eastAsia"/>
          <w:color w:val="auto"/>
          <w:highlight w:val="none"/>
        </w:rPr>
        <w:t>综合评价情况及评价结论</w:t>
      </w:r>
    </w:p>
    <w:p>
      <w:pPr>
        <w:pStyle w:val="4"/>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pageBreakBefore w:val="0"/>
        <w:kinsoku/>
        <w:wordWrap/>
        <w:topLinePunct w:val="0"/>
        <w:autoSpaceDE/>
        <w:autoSpaceDN/>
        <w:bidi w:val="0"/>
        <w:spacing w:line="560" w:lineRule="exact"/>
        <w:textAlignment w:val="auto"/>
        <w:rPr>
          <w:rFonts w:hint="eastAsia"/>
          <w:color w:val="auto"/>
          <w:highlight w:val="none"/>
          <w:lang w:eastAsia="zh-CN"/>
        </w:rPr>
      </w:pPr>
      <w:bookmarkStart w:id="14" w:name="_Toc68364666"/>
      <w:r>
        <w:rPr>
          <w:rFonts w:hint="eastAsia" w:eastAsia="仿宋_GB2312"/>
          <w:color w:val="auto"/>
          <w:highlight w:val="none"/>
          <w:lang w:eastAsia="zh-CN"/>
        </w:rPr>
        <w:tab/>
      </w:r>
      <w:r>
        <w:rPr>
          <w:rFonts w:hint="eastAsia" w:eastAsia="仿宋_GB2312"/>
          <w:color w:val="auto"/>
          <w:highlight w:val="none"/>
          <w:lang w:eastAsia="zh-CN"/>
        </w:rPr>
        <w:t>经评价，本项目达到了年初设立的绩效目标，</w:t>
      </w:r>
      <w:r>
        <w:rPr>
          <w:rFonts w:hint="eastAsia"/>
          <w:color w:val="auto"/>
          <w:highlight w:val="none"/>
        </w:rPr>
        <w:t>项目总体组织规范，完成了工作目标，</w:t>
      </w:r>
      <w:r>
        <w:rPr>
          <w:rFonts w:hint="eastAsia" w:eastAsia="仿宋_GB2312"/>
          <w:color w:val="auto"/>
          <w:highlight w:val="none"/>
          <w:lang w:eastAsia="zh-CN"/>
        </w:rPr>
        <w:t>在实施过程中取得了良好的成效，具体表现在以下</w:t>
      </w:r>
      <w:r>
        <w:rPr>
          <w:rFonts w:hint="eastAsia" w:ascii="Times New Roman" w:eastAsia="仿宋_GB2312"/>
          <w:color w:val="auto"/>
          <w:highlight w:val="none"/>
          <w:lang w:val="en-US" w:eastAsia="zh-Hans"/>
        </w:rPr>
        <w:t>四</w:t>
      </w:r>
      <w:r>
        <w:rPr>
          <w:rFonts w:hint="eastAsia" w:eastAsia="仿宋_GB2312"/>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eastAsia="仿宋_GB2312"/>
          <w:color w:val="auto"/>
          <w:highlight w:val="none"/>
          <w:lang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r>
        <w:rPr>
          <w:rFonts w:hint="eastAsia"/>
          <w:color w:val="auto"/>
          <w:highlight w:val="none"/>
        </w:rPr>
        <w:t xml:space="preserve">。 </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项目管理方面</w:t>
      </w:r>
      <w:r>
        <w:rPr>
          <w:rFonts w:hint="eastAsia" w:eastAsia="仿宋_GB2312"/>
          <w:color w:val="auto"/>
          <w:highlight w:val="none"/>
          <w:lang w:eastAsia="zh-CN"/>
        </w:rPr>
        <w:t>：</w:t>
      </w:r>
      <w:r>
        <w:rPr>
          <w:rFonts w:hint="eastAsia" w:ascii="Times New Roman" w:eastAsia="仿宋_GB2312"/>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highlight w:val="none"/>
        </w:rPr>
        <w:t>。</w:t>
      </w:r>
    </w:p>
    <w:p>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eastAsia="仿宋_GB2312"/>
          <w:color w:val="auto"/>
          <w:highlight w:val="none"/>
          <w:lang w:eastAsia="zh-CN"/>
        </w:rPr>
        <w:t>项目产出方面：</w:t>
      </w:r>
      <w:r>
        <w:rPr>
          <w:rFonts w:hint="eastAsia" w:ascii="Times New Roman" w:eastAsia="仿宋_GB2312"/>
          <w:color w:val="auto"/>
          <w:highlight w:val="none"/>
          <w:lang w:val="en-US" w:eastAsia="zh-CN"/>
        </w:rPr>
        <w:t>截止到202</w:t>
      </w:r>
      <w:r>
        <w:rPr>
          <w:rFonts w:hint="eastAsia"/>
          <w:color w:val="auto"/>
          <w:highlight w:val="none"/>
          <w:lang w:val="en-US" w:eastAsia="zh-CN"/>
        </w:rPr>
        <w:t>3</w:t>
      </w:r>
      <w:r>
        <w:rPr>
          <w:rFonts w:hint="eastAsia" w:ascii="Times New Roman" w:eastAsia="仿宋_GB2312"/>
          <w:color w:val="auto"/>
          <w:highlight w:val="none"/>
          <w:lang w:val="en-US" w:eastAsia="zh-CN"/>
        </w:rPr>
        <w:t>年12月31日，本项目</w:t>
      </w:r>
      <w:r>
        <w:rPr>
          <w:rFonts w:hint="eastAsia"/>
          <w:color w:val="auto"/>
          <w:highlight w:val="none"/>
          <w:lang w:val="en-US" w:eastAsia="zh-CN"/>
        </w:rPr>
        <w:t>已完成</w:t>
      </w:r>
      <w:r>
        <w:rPr>
          <w:rFonts w:hint="eastAsia" w:ascii="Times New Roman" w:eastAsia="仿宋_GB2312"/>
          <w:color w:val="auto"/>
          <w:highlight w:val="none"/>
          <w:lang w:val="en-US" w:eastAsia="zh-CN"/>
        </w:rPr>
        <w:t>2023年退耕还林延长补助2.8162万亩</w:t>
      </w:r>
      <w:r>
        <w:rPr>
          <w:rFonts w:hint="eastAsia"/>
          <w:color w:val="auto"/>
          <w:highlight w:val="none"/>
          <w:lang w:val="en-US" w:eastAsia="zh-CN"/>
        </w:rPr>
        <w:t>。</w:t>
      </w:r>
    </w:p>
    <w:p>
      <w:pPr>
        <w:pageBreakBefore w:val="0"/>
        <w:kinsoku/>
        <w:wordWrap/>
        <w:topLinePunct w:val="0"/>
        <w:autoSpaceDE/>
        <w:autoSpaceDN/>
        <w:bidi w:val="0"/>
        <w:spacing w:line="560" w:lineRule="exact"/>
        <w:textAlignment w:val="auto"/>
        <w:rPr>
          <w:color w:val="auto"/>
          <w:highlight w:val="none"/>
          <w:lang w:val="en-US" w:eastAsia="zh-CN"/>
        </w:rPr>
      </w:pPr>
      <w:r>
        <w:rPr>
          <w:rFonts w:hint="eastAsia" w:eastAsia="仿宋_GB2312"/>
          <w:color w:val="auto"/>
          <w:highlight w:val="none"/>
          <w:lang w:eastAsia="zh-CN"/>
        </w:rPr>
        <w:t>项目效益方面：</w:t>
      </w:r>
      <w:r>
        <w:rPr>
          <w:rFonts w:hint="eastAsia" w:ascii="Times New Roman" w:eastAsia="仿宋_GB2312"/>
          <w:color w:val="auto"/>
          <w:highlight w:val="none"/>
          <w:u w:color="000000"/>
          <w:lang w:val="zh-TW" w:eastAsia="zh-TW"/>
        </w:rPr>
        <w:t>巩固退耕还林还草成果发挥生态效益</w:t>
      </w:r>
      <w:r>
        <w:rPr>
          <w:rFonts w:hint="eastAsia" w:ascii="Times New Roman" w:eastAsia="仿宋_GB2312"/>
          <w:color w:val="auto"/>
          <w:highlight w:val="none"/>
          <w:lang w:val="en-US" w:eastAsia="zh-CN"/>
        </w:rPr>
        <w:t>。</w:t>
      </w:r>
    </w:p>
    <w:p>
      <w:pPr>
        <w:pStyle w:val="4"/>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（二）综合评价结论</w:t>
      </w:r>
    </w:p>
    <w:bookmarkEnd w:id="14"/>
    <w:p>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ascii="Times New Roman" w:eastAsia="仿宋_GB2312"/>
          <w:color w:val="auto"/>
          <w:highlight w:val="none"/>
          <w:lang w:val="en-US" w:eastAsia="zh-CN"/>
        </w:rPr>
        <w:t>此次绩效评价通过绩效评价小组论证的评价指标体系及评分标准，采用比较法、公众评判法、因素分析法等对本项目绩效进行客观评价，最终评分结果：总分为</w:t>
      </w:r>
      <w:r>
        <w:rPr>
          <w:rFonts w:hint="eastAsia"/>
          <w:color w:val="auto"/>
          <w:highlight w:val="none"/>
          <w:lang w:val="en-US" w:eastAsia="zh-CN"/>
        </w:rPr>
        <w:t>98.27</w:t>
      </w:r>
      <w:r>
        <w:rPr>
          <w:rFonts w:hint="eastAsia" w:ascii="Times New Roman" w:eastAsia="仿宋_GB2312"/>
          <w:color w:val="auto"/>
          <w:highlight w:val="none"/>
          <w:lang w:val="en-US" w:eastAsia="zh-CN"/>
        </w:rPr>
        <w:t>分，绩效评级为“优”。综合评价结论如下：本项目决策指标共设置6个，满分20分，得分率100%；项目过程指标共设置5个，满分20分，得分率</w:t>
      </w:r>
      <w:r>
        <w:rPr>
          <w:rFonts w:hint="eastAsia"/>
          <w:color w:val="auto"/>
          <w:highlight w:val="none"/>
          <w:lang w:val="en-US" w:eastAsia="zh-CN"/>
        </w:rPr>
        <w:t>97.68</w:t>
      </w:r>
      <w:r>
        <w:rPr>
          <w:rFonts w:hint="eastAsia" w:ascii="Times New Roman" w:eastAsia="仿宋_GB2312"/>
          <w:color w:val="auto"/>
          <w:highlight w:val="none"/>
          <w:lang w:val="en-US" w:eastAsia="zh-CN"/>
        </w:rPr>
        <w:t>%；项目产出指标共设置</w:t>
      </w:r>
      <w:r>
        <w:rPr>
          <w:rFonts w:hint="eastAsia"/>
          <w:color w:val="auto"/>
          <w:highlight w:val="none"/>
          <w:lang w:val="en-US" w:eastAsia="zh-CN"/>
        </w:rPr>
        <w:t>6</w:t>
      </w:r>
      <w:r>
        <w:rPr>
          <w:rFonts w:hint="eastAsia" w:ascii="Times New Roman" w:eastAsia="仿宋_GB2312"/>
          <w:color w:val="auto"/>
          <w:highlight w:val="none"/>
          <w:lang w:val="en-US" w:eastAsia="zh-CN"/>
        </w:rPr>
        <w:t>个，满分</w:t>
      </w:r>
      <w:r>
        <w:rPr>
          <w:rFonts w:hint="eastAsia"/>
          <w:color w:val="auto"/>
          <w:highlight w:val="none"/>
          <w:lang w:val="en-US" w:eastAsia="zh-CN"/>
        </w:rPr>
        <w:t>24</w:t>
      </w:r>
      <w:r>
        <w:rPr>
          <w:rFonts w:hint="eastAsia" w:ascii="Times New Roman" w:eastAsia="仿宋_GB2312"/>
          <w:color w:val="auto"/>
          <w:highlight w:val="none"/>
          <w:lang w:val="en-US" w:eastAsia="zh-CN"/>
        </w:rPr>
        <w:t>分，得分率</w:t>
      </w:r>
      <w:r>
        <w:rPr>
          <w:rFonts w:hint="eastAsia"/>
          <w:color w:val="auto"/>
          <w:highlight w:val="none"/>
          <w:lang w:val="en-US" w:eastAsia="zh-CN"/>
        </w:rPr>
        <w:t>94.71</w:t>
      </w:r>
      <w:r>
        <w:rPr>
          <w:rFonts w:hint="eastAsia" w:ascii="Times New Roman" w:eastAsia="仿宋_GB2312"/>
          <w:color w:val="auto"/>
          <w:highlight w:val="none"/>
          <w:lang w:val="en-US" w:eastAsia="zh-CN"/>
        </w:rPr>
        <w:t>%；项目</w:t>
      </w:r>
      <w:r>
        <w:rPr>
          <w:rFonts w:hint="eastAsia"/>
          <w:color w:val="auto"/>
          <w:highlight w:val="none"/>
          <w:lang w:val="en-US" w:eastAsia="zh-CN"/>
        </w:rPr>
        <w:t>成本</w:t>
      </w:r>
      <w:r>
        <w:rPr>
          <w:rFonts w:hint="eastAsia" w:ascii="Times New Roman" w:eastAsia="仿宋_GB2312"/>
          <w:color w:val="auto"/>
          <w:highlight w:val="none"/>
          <w:lang w:val="en-US" w:eastAsia="zh-CN"/>
        </w:rPr>
        <w:t>指标共设置</w:t>
      </w:r>
      <w:r>
        <w:rPr>
          <w:rFonts w:hint="eastAsia"/>
          <w:color w:val="auto"/>
          <w:highlight w:val="none"/>
          <w:lang w:val="en-US" w:eastAsia="zh-CN"/>
        </w:rPr>
        <w:t>1</w:t>
      </w:r>
      <w:r>
        <w:rPr>
          <w:rFonts w:hint="eastAsia" w:ascii="Times New Roman" w:eastAsia="仿宋_GB2312"/>
          <w:color w:val="auto"/>
          <w:highlight w:val="none"/>
          <w:lang w:val="en-US" w:eastAsia="zh-CN"/>
        </w:rPr>
        <w:t>个，满分</w:t>
      </w:r>
      <w:r>
        <w:rPr>
          <w:rFonts w:hint="eastAsia"/>
          <w:color w:val="auto"/>
          <w:highlight w:val="none"/>
          <w:lang w:val="en-US" w:eastAsia="zh-CN"/>
        </w:rPr>
        <w:t>12</w:t>
      </w:r>
      <w:r>
        <w:rPr>
          <w:rFonts w:hint="eastAsia" w:ascii="Times New Roman" w:eastAsia="仿宋_GB2312"/>
          <w:color w:val="auto"/>
          <w:highlight w:val="none"/>
          <w:lang w:val="en-US" w:eastAsia="zh-CN"/>
        </w:rPr>
        <w:t>分，得分率</w:t>
      </w:r>
      <w:r>
        <w:rPr>
          <w:rFonts w:hint="eastAsia"/>
          <w:color w:val="auto"/>
          <w:highlight w:val="none"/>
          <w:lang w:val="en-US" w:eastAsia="zh-CN"/>
        </w:rPr>
        <w:t>100</w:t>
      </w:r>
      <w:r>
        <w:rPr>
          <w:rFonts w:hint="eastAsia" w:ascii="Times New Roman" w:eastAsia="仿宋_GB2312"/>
          <w:color w:val="auto"/>
          <w:highlight w:val="none"/>
          <w:lang w:val="en-US" w:eastAsia="zh-CN"/>
        </w:rPr>
        <w:t>%；项目效益指标共设置</w:t>
      </w:r>
      <w:r>
        <w:rPr>
          <w:rFonts w:hint="eastAsia"/>
          <w:color w:val="auto"/>
          <w:highlight w:val="none"/>
          <w:lang w:val="en-US" w:eastAsia="zh-CN"/>
        </w:rPr>
        <w:t>5</w:t>
      </w:r>
      <w:r>
        <w:rPr>
          <w:rFonts w:hint="eastAsia" w:ascii="Times New Roman" w:eastAsia="仿宋_GB2312"/>
          <w:color w:val="auto"/>
          <w:highlight w:val="none"/>
          <w:lang w:val="en-US" w:eastAsia="zh-CN"/>
        </w:rPr>
        <w:t>个，满分</w:t>
      </w:r>
      <w:r>
        <w:rPr>
          <w:rFonts w:hint="eastAsia"/>
          <w:color w:val="auto"/>
          <w:highlight w:val="none"/>
          <w:lang w:val="en-US" w:eastAsia="zh-CN"/>
        </w:rPr>
        <w:t>24</w:t>
      </w:r>
      <w:r>
        <w:rPr>
          <w:rFonts w:hint="eastAsia" w:ascii="Times New Roman" w:eastAsia="仿宋_GB2312"/>
          <w:color w:val="auto"/>
          <w:highlight w:val="none"/>
          <w:lang w:val="en-US" w:eastAsia="zh-CN"/>
        </w:rPr>
        <w:t>分，得分率</w:t>
      </w:r>
      <w:r>
        <w:rPr>
          <w:rFonts w:hint="eastAsia"/>
          <w:color w:val="auto"/>
          <w:highlight w:val="none"/>
          <w:lang w:val="en-US" w:eastAsia="zh-CN"/>
        </w:rPr>
        <w:t>100</w:t>
      </w:r>
      <w:r>
        <w:rPr>
          <w:rFonts w:hint="eastAsia" w:ascii="Times New Roman" w:eastAsia="仿宋_GB2312"/>
          <w:color w:val="auto"/>
          <w:highlight w:val="none"/>
          <w:lang w:val="en-US" w:eastAsia="zh-CN"/>
        </w:rPr>
        <w:t>%。</w:t>
      </w:r>
    </w:p>
    <w:p>
      <w:pPr>
        <w:pStyle w:val="3"/>
        <w:pageBreakBefore w:val="0"/>
        <w:numPr>
          <w:ilvl w:val="0"/>
          <w:numId w:val="3"/>
        </w:numPr>
        <w:kinsoku/>
        <w:wordWrap/>
        <w:topLinePunct w:val="0"/>
        <w:autoSpaceDE/>
        <w:autoSpaceDN/>
        <w:bidi w:val="0"/>
        <w:spacing w:line="560" w:lineRule="exact"/>
        <w:ind w:firstLine="640"/>
        <w:textAlignment w:val="auto"/>
        <w:rPr>
          <w:rFonts w:hint="eastAsia"/>
          <w:color w:val="auto"/>
          <w:highlight w:val="none"/>
        </w:rPr>
      </w:pPr>
      <w:r>
        <w:rPr>
          <w:rFonts w:hint="eastAsia"/>
          <w:color w:val="auto"/>
          <w:highlight w:val="none"/>
        </w:rPr>
        <w:t>绩效评价指标分析</w:t>
      </w:r>
    </w:p>
    <w:p>
      <w:pPr>
        <w:pStyle w:val="4"/>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textAlignment w:val="auto"/>
        <w:rPr>
          <w:rFonts w:hint="eastAsia"/>
          <w:color w:val="auto"/>
          <w:highlight w:val="none"/>
          <w:lang w:val="en-US" w:eastAsia="zh-CN"/>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eastAsia="仿宋_GB2312"/>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Times New Roman" w:eastAsia="仿宋_GB2312"/>
          <w:color w:val="auto"/>
          <w:highlight w:val="none"/>
          <w:lang w:val="en-US" w:eastAsia="zh-CN"/>
        </w:rPr>
        <w:t>1.项目立项情况分析</w:t>
      </w:r>
    </w:p>
    <w:p>
      <w:pPr>
        <w:pageBreakBefore w:val="0"/>
        <w:kinsoku/>
        <w:wordWrap/>
        <w:topLinePunct w:val="0"/>
        <w:autoSpaceDE/>
        <w:autoSpaceDN/>
        <w:bidi w:val="0"/>
        <w:spacing w:line="560" w:lineRule="exact"/>
        <w:textAlignment w:val="auto"/>
        <w:rPr>
          <w:rFonts w:hint="eastAsia"/>
          <w:b/>
          <w:bCs/>
          <w:color w:val="auto"/>
          <w:highlight w:val="none"/>
        </w:rPr>
      </w:pPr>
      <w:r>
        <w:rPr>
          <w:rFonts w:hint="eastAsia"/>
          <w:b/>
          <w:bCs/>
          <w:color w:val="auto"/>
          <w:highlight w:val="none"/>
        </w:rPr>
        <w:t>（1）立项依据充分性：</w:t>
      </w:r>
    </w:p>
    <w:p>
      <w:pPr>
        <w:pageBreakBefore w:val="0"/>
        <w:kinsoku/>
        <w:wordWrap/>
        <w:topLinePunct w:val="0"/>
        <w:autoSpaceDE/>
        <w:autoSpaceDN/>
        <w:bidi w:val="0"/>
        <w:spacing w:line="560" w:lineRule="exact"/>
        <w:textAlignment w:val="auto"/>
        <w:rPr>
          <w:rFonts w:hint="eastAsia"/>
          <w:color w:val="auto"/>
          <w:highlight w:val="none"/>
        </w:rPr>
      </w:pPr>
      <w:r>
        <w:rPr>
          <w:rFonts w:hint="eastAsia" w:ascii="Times New Roman" w:hAnsi="Times New Roman" w:cs="Times New Roman"/>
          <w:color w:val="auto"/>
          <w:highlight w:val="none"/>
        </w:rPr>
        <w:t>项目立项符合《财务管理办法》、《内部控制管理制度》</w:t>
      </w:r>
      <w:r>
        <w:rPr>
          <w:rFonts w:hint="eastAsia" w:cs="Times New Roman"/>
          <w:color w:val="auto"/>
          <w:highlight w:val="none"/>
          <w:lang w:eastAsia="zh-CN"/>
        </w:rPr>
        <w:t>、</w:t>
      </w:r>
      <w:r>
        <w:rPr>
          <w:rFonts w:hint="eastAsia" w:ascii="Times New Roman" w:hAnsi="Times New Roman" w:cs="Times New Roman"/>
          <w:color w:val="auto"/>
          <w:highlight w:val="none"/>
        </w:rPr>
        <w:t>等国家法律法规关于</w:t>
      </w:r>
      <w:r>
        <w:rPr>
          <w:rFonts w:hint="eastAsia" w:ascii="Times New Roman" w:hAnsi="Times New Roman" w:cs="Times New Roman"/>
          <w:color w:val="auto"/>
          <w:highlight w:val="none"/>
          <w:lang w:val="en-US" w:eastAsia="zh-CN"/>
        </w:rPr>
        <w:t>托克逊县</w:t>
      </w:r>
      <w:r>
        <w:rPr>
          <w:rFonts w:hint="eastAsia" w:ascii="Times New Roman" w:hAnsi="Times New Roman" w:cs="Times New Roman"/>
          <w:color w:val="auto"/>
          <w:highlight w:val="none"/>
        </w:rPr>
        <w:t>的国</w:t>
      </w:r>
      <w:r>
        <w:rPr>
          <w:rFonts w:hint="eastAsia"/>
          <w:color w:val="auto"/>
          <w:highlight w:val="none"/>
        </w:rPr>
        <w:t>民经济发展规划和相关政策</w:t>
      </w:r>
      <w:r>
        <w:rPr>
          <w:rFonts w:hint="eastAsia"/>
          <w:color w:val="auto"/>
          <w:highlight w:val="none"/>
          <w:lang w:eastAsia="zh-CN"/>
        </w:rPr>
        <w:t>，</w:t>
      </w:r>
      <w:r>
        <w:rPr>
          <w:rFonts w:hint="eastAsia"/>
          <w:color w:val="auto"/>
          <w:highlight w:val="none"/>
        </w:rPr>
        <w:t>属于部门履职所需；根据《财政资金直接支付申请书》，本项目资金性质为</w:t>
      </w:r>
      <w:r>
        <w:rPr>
          <w:rFonts w:hint="eastAsia" w:ascii="Times New Roman" w:eastAsia="仿宋_GB2312"/>
          <w:color w:val="auto"/>
          <w:highlight w:val="none"/>
          <w:lang w:val="en-US" w:eastAsia="zh-CN"/>
        </w:rPr>
        <w:t>中央</w:t>
      </w:r>
      <w:r>
        <w:rPr>
          <w:rFonts w:hint="eastAsia"/>
          <w:color w:val="auto"/>
          <w:highlight w:val="none"/>
          <w:lang w:val="en-US" w:eastAsia="zh-CN"/>
        </w:rPr>
        <w:t>财政林业改革发展</w:t>
      </w:r>
      <w:r>
        <w:rPr>
          <w:rFonts w:hint="eastAsia"/>
          <w:color w:val="auto"/>
          <w:highlight w:val="none"/>
        </w:rPr>
        <w:t>资金</w:t>
      </w:r>
      <w:r>
        <w:rPr>
          <w:rFonts w:hint="eastAsia" w:eastAsia="仿宋_GB2312"/>
          <w:color w:val="auto"/>
          <w:highlight w:val="none"/>
          <w:lang w:eastAsia="zh-CN"/>
        </w:rPr>
        <w:t>，</w:t>
      </w:r>
      <w:r>
        <w:rPr>
          <w:rFonts w:hint="eastAsia"/>
          <w:color w:val="auto"/>
          <w:highlight w:val="none"/>
        </w:rPr>
        <w:t>功能分类为</w:t>
      </w:r>
      <w:r>
        <w:rPr>
          <w:rFonts w:hint="eastAsia"/>
          <w:color w:val="auto"/>
          <w:highlight w:val="none"/>
          <w:lang w:val="en-US" w:eastAsia="zh-CN"/>
        </w:rPr>
        <w:t>2130299其他林业支出</w:t>
      </w:r>
      <w:r>
        <w:rPr>
          <w:rFonts w:hint="eastAsia" w:eastAsia="仿宋_GB2312"/>
          <w:color w:val="auto"/>
          <w:highlight w:val="none"/>
          <w:lang w:eastAsia="zh-CN"/>
        </w:rPr>
        <w:t>，</w:t>
      </w:r>
      <w:r>
        <w:rPr>
          <w:rFonts w:hint="eastAsia"/>
          <w:color w:val="auto"/>
          <w:highlight w:val="none"/>
        </w:rPr>
        <w:t>根据《</w:t>
      </w:r>
      <w:r>
        <w:rPr>
          <w:rFonts w:hint="eastAsia" w:ascii="Times New Roman" w:eastAsia="仿宋_GB2312"/>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ascii="Times New Roman" w:eastAsia="仿宋_GB2312"/>
          <w:color w:val="auto"/>
          <w:highlight w:val="none"/>
          <w:lang w:val="en-US" w:eastAsia="zh-CN"/>
        </w:rPr>
        <w:t>4</w:t>
      </w:r>
      <w:r>
        <w:rPr>
          <w:rFonts w:hint="eastAsia"/>
          <w:color w:val="auto"/>
          <w:highlight w:val="none"/>
        </w:rPr>
        <w:t>分，根据评分标准得</w:t>
      </w:r>
      <w:r>
        <w:rPr>
          <w:rFonts w:hint="eastAsia" w:ascii="Times New Roman" w:eastAsia="仿宋_GB2312"/>
          <w:color w:val="auto"/>
          <w:highlight w:val="none"/>
          <w:lang w:val="en-US" w:eastAsia="zh-CN"/>
        </w:rPr>
        <w:t>4</w:t>
      </w:r>
      <w:r>
        <w:rPr>
          <w:rFonts w:hint="eastAsia"/>
          <w:color w:val="auto"/>
          <w:highlight w:val="none"/>
        </w:rPr>
        <w:t>分</w:t>
      </w:r>
      <w:r>
        <w:rPr>
          <w:rFonts w:hint="eastAsia" w:eastAsia="仿宋_GB2312"/>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textAlignment w:val="auto"/>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pageBreakBefore w:val="0"/>
        <w:kinsoku/>
        <w:wordWrap/>
        <w:topLinePunct w:val="0"/>
        <w:autoSpaceDE/>
        <w:autoSpaceDN/>
        <w:bidi w:val="0"/>
        <w:spacing w:line="560" w:lineRule="exact"/>
        <w:textAlignment w:val="auto"/>
        <w:rPr>
          <w:color w:val="auto"/>
          <w:highlight w:val="none"/>
        </w:rPr>
      </w:pPr>
      <w:r>
        <w:rPr>
          <w:rFonts w:hint="eastAsia" w:ascii="Times New Roman" w:eastAsia="仿宋_GB2312"/>
          <w:color w:val="auto"/>
          <w:highlight w:val="none"/>
          <w:lang w:val="en-US" w:eastAsia="zh-CN"/>
        </w:rPr>
        <w:t>该</w:t>
      </w:r>
      <w:r>
        <w:rPr>
          <w:rFonts w:hint="eastAsia"/>
          <w:color w:val="auto"/>
          <w:highlight w:val="none"/>
        </w:rPr>
        <w:t>项目按照规定</w:t>
      </w:r>
      <w:r>
        <w:rPr>
          <w:rFonts w:hint="eastAsia" w:ascii="Times New Roman" w:hAnsi="Times New Roman" w:cs="Times New Roman"/>
          <w:color w:val="auto"/>
          <w:highlight w:val="none"/>
          <w:lang w:val="en-US" w:eastAsia="zh-CN"/>
        </w:rPr>
        <w:t>的立项审批程序</w:t>
      </w:r>
      <w:r>
        <w:rPr>
          <w:rFonts w:hint="eastAsia"/>
          <w:color w:val="auto"/>
          <w:highlight w:val="none"/>
        </w:rPr>
        <w:t>申请设立</w:t>
      </w:r>
      <w:r>
        <w:rPr>
          <w:rFonts w:hint="eastAsia" w:eastAsia="仿宋_GB2312"/>
          <w:color w:val="auto"/>
          <w:highlight w:val="none"/>
          <w:lang w:eastAsia="zh-CN"/>
        </w:rPr>
        <w:t>；</w:t>
      </w:r>
      <w:r>
        <w:rPr>
          <w:rFonts w:hint="eastAsia"/>
          <w:color w:val="auto"/>
          <w:highlight w:val="none"/>
        </w:rPr>
        <w:t>事前已经过必要的专家论证、集体决策</w:t>
      </w:r>
      <w:r>
        <w:rPr>
          <w:rFonts w:hint="eastAsia" w:ascii="Times New Roman" w:eastAsia="仿宋_GB2312"/>
          <w:color w:val="auto"/>
          <w:highlight w:val="none"/>
          <w:lang w:val="en-US" w:eastAsia="zh-CN"/>
        </w:rPr>
        <w:t>。</w:t>
      </w:r>
    </w:p>
    <w:p>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textAlignment w:val="auto"/>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rPr>
        <w:t>①本项目已设置年度绩效目标，具体内容为</w:t>
      </w:r>
      <w:r>
        <w:rPr>
          <w:rFonts w:hint="eastAsia" w:eastAsia="仿宋_GB2312"/>
          <w:color w:val="auto"/>
          <w:highlight w:val="none"/>
          <w:lang w:eastAsia="zh-CN"/>
        </w:rPr>
        <w:t>：</w:t>
      </w:r>
      <w:r>
        <w:rPr>
          <w:rFonts w:hint="eastAsia" w:ascii="Times New Roman" w:eastAsia="仿宋_GB2312"/>
          <w:color w:val="auto"/>
          <w:highlight w:val="none"/>
          <w:lang w:val="en-US" w:eastAsia="zh-CN"/>
        </w:rPr>
        <w:t>2023年新一轮退耕还林3.186万亩延长补助资金兑现。</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②本</w:t>
      </w:r>
      <w:r>
        <w:rPr>
          <w:rFonts w:hint="eastAsia" w:eastAsia="仿宋_GB2312"/>
          <w:color w:val="auto"/>
          <w:highlight w:val="none"/>
          <w:lang w:eastAsia="zh-CN"/>
        </w:rPr>
        <w:t>项目绩效目标与实际工作内容具有相关性；</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③本项目按照绩效目标完成</w:t>
      </w:r>
      <w:r>
        <w:rPr>
          <w:rFonts w:hint="eastAsia" w:ascii="Times New Roman" w:eastAsia="仿宋_GB2312"/>
          <w:color w:val="auto"/>
          <w:highlight w:val="none"/>
          <w:lang w:val="en-US" w:eastAsia="zh-CN"/>
        </w:rPr>
        <w:t>了各项产出指标和效益指标</w:t>
      </w:r>
      <w:r>
        <w:rPr>
          <w:rFonts w:hint="eastAsia"/>
          <w:color w:val="auto"/>
          <w:highlight w:val="none"/>
        </w:rPr>
        <w:t>，预期产出效益和效果符合正常的业绩水平。</w:t>
      </w:r>
    </w:p>
    <w:p>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eastAsia="仿宋_GB2312"/>
          <w:color w:val="auto"/>
          <w:highlight w:val="none"/>
          <w:lang w:eastAsia="zh-CN"/>
        </w:rPr>
        <w:t>的</w:t>
      </w:r>
      <w:r>
        <w:rPr>
          <w:color w:val="auto"/>
          <w:highlight w:val="none"/>
        </w:rPr>
        <w:t>预算金额为</w:t>
      </w:r>
      <w:r>
        <w:rPr>
          <w:rFonts w:hint="eastAsia"/>
          <w:color w:val="auto"/>
          <w:highlight w:val="none"/>
          <w:lang w:val="en-US" w:eastAsia="zh-CN"/>
        </w:rPr>
        <w:t>318.6</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318.6</w:t>
      </w:r>
      <w:r>
        <w:rPr>
          <w:color w:val="auto"/>
          <w:highlight w:val="none"/>
        </w:rPr>
        <w:t>万元，</w:t>
      </w:r>
      <w:r>
        <w:rPr>
          <w:rFonts w:hint="eastAsia"/>
          <w:color w:val="auto"/>
          <w:highlight w:val="none"/>
        </w:rPr>
        <w:t>预算确定的项目资金与预算确定的</w:t>
      </w:r>
      <w:r>
        <w:rPr>
          <w:rFonts w:hint="eastAsia" w:ascii="Times New Roman" w:eastAsia="仿宋_GB2312"/>
          <w:color w:val="auto"/>
          <w:highlight w:val="none"/>
          <w:lang w:val="en-US" w:eastAsia="zh-CN"/>
        </w:rPr>
        <w:t>项目投资额相匹配。</w:t>
      </w:r>
    </w:p>
    <w:p>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ascii="Times New Roman" w:eastAsia="仿宋_GB2312"/>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eastAsia="仿宋_GB2312"/>
          <w:color w:val="auto"/>
          <w:highlight w:val="none"/>
          <w:lang w:eastAsia="zh-CN"/>
        </w:rPr>
        <w:t>经检查，我单位年初设置的《项目支出绩效目标表》：</w:t>
      </w:r>
    </w:p>
    <w:p>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rPr>
        <w:t>①</w:t>
      </w:r>
      <w:r>
        <w:rPr>
          <w:rFonts w:hint="eastAsia" w:ascii="Times New Roman" w:eastAsia="仿宋_GB2312"/>
          <w:color w:val="auto"/>
          <w:highlight w:val="none"/>
          <w:lang w:val="en-US" w:eastAsia="zh-CN"/>
        </w:rPr>
        <w:t>已</w:t>
      </w:r>
      <w:r>
        <w:rPr>
          <w:rFonts w:hint="eastAsia" w:eastAsia="仿宋_GB2312"/>
          <w:color w:val="auto"/>
          <w:highlight w:val="none"/>
          <w:lang w:eastAsia="zh-CN"/>
        </w:rPr>
        <w:t>将项目绩效目标细化分解为具体的绩效指标，</w:t>
      </w:r>
      <w:r>
        <w:rPr>
          <w:rFonts w:hint="eastAsia" w:ascii="Times New Roman" w:eastAsia="仿宋_GB2312"/>
          <w:color w:val="auto"/>
          <w:highlight w:val="none"/>
          <w:lang w:val="en-US" w:eastAsia="zh-CN"/>
        </w:rPr>
        <w:t>指标</w:t>
      </w:r>
      <w:r>
        <w:rPr>
          <w:rFonts w:hint="eastAsia" w:eastAsia="仿宋_GB2312"/>
          <w:color w:val="auto"/>
          <w:highlight w:val="none"/>
          <w:lang w:eastAsia="zh-CN"/>
        </w:rPr>
        <w:t>量化率达70%以上；</w:t>
      </w:r>
    </w:p>
    <w:p>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color w:val="auto"/>
          <w:highlight w:val="none"/>
        </w:rPr>
        <w:t>②</w:t>
      </w:r>
      <w:r>
        <w:rPr>
          <w:rFonts w:hint="eastAsia" w:ascii="Times New Roman" w:eastAsia="仿宋_GB2312"/>
          <w:color w:val="auto"/>
          <w:highlight w:val="none"/>
          <w:lang w:val="en-US" w:eastAsia="zh-CN"/>
        </w:rPr>
        <w:t>根据</w:t>
      </w:r>
      <w:r>
        <w:rPr>
          <w:rFonts w:hint="eastAsia" w:eastAsia="仿宋_GB2312"/>
          <w:color w:val="auto"/>
          <w:highlight w:val="none"/>
          <w:lang w:eastAsia="zh-CN"/>
        </w:rPr>
        <w:t>《项目支出绩效目标表》，</w:t>
      </w:r>
      <w:r>
        <w:rPr>
          <w:rFonts w:hint="eastAsia" w:ascii="Times New Roman" w:eastAsia="仿宋_GB2312"/>
          <w:color w:val="auto"/>
          <w:highlight w:val="none"/>
          <w:lang w:val="en-US" w:eastAsia="zh-CN"/>
        </w:rPr>
        <w:t>我单位各项三级指标</w:t>
      </w:r>
      <w:r>
        <w:rPr>
          <w:rFonts w:hint="eastAsia" w:eastAsia="仿宋_GB2312"/>
          <w:color w:val="auto"/>
          <w:highlight w:val="none"/>
          <w:lang w:eastAsia="zh-CN"/>
        </w:rPr>
        <w:t>通过清晰、可衡量的指标值予以体现；</w:t>
      </w:r>
    </w:p>
    <w:p>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eastAsia="仿宋_GB2312"/>
          <w:color w:val="auto"/>
          <w:highlight w:val="none"/>
          <w:lang w:eastAsia="zh-CN"/>
        </w:rPr>
        <w:t>③三级指标的年度指标值与年度绩效目标中任务数一致。</w:t>
      </w:r>
    </w:p>
    <w:p>
      <w:pPr>
        <w:pageBreakBefore w:val="0"/>
        <w:kinsoku/>
        <w:wordWrap/>
        <w:topLinePunct w:val="0"/>
        <w:autoSpaceDE/>
        <w:autoSpaceDN/>
        <w:bidi w:val="0"/>
        <w:spacing w:line="560" w:lineRule="exact"/>
        <w:textAlignment w:val="auto"/>
        <w:rPr>
          <w:rFonts w:hint="eastAsia" w:ascii="仿宋_GB2312" w:cs="仿宋_GB2312"/>
          <w:color w:val="auto"/>
          <w:szCs w:val="28"/>
          <w:highlight w:val="none"/>
        </w:rPr>
      </w:pPr>
      <w:r>
        <w:rPr>
          <w:rFonts w:hint="eastAsia" w:eastAsia="仿宋_GB2312"/>
          <w:color w:val="auto"/>
          <w:highlight w:val="none"/>
          <w:lang w:eastAsia="zh-CN"/>
        </w:rPr>
        <w:t>综上所述，本指标满分为</w:t>
      </w:r>
      <w:r>
        <w:rPr>
          <w:rFonts w:hint="eastAsia" w:ascii="Times New Roman" w:eastAsia="仿宋_GB2312"/>
          <w:color w:val="auto"/>
          <w:highlight w:val="none"/>
          <w:lang w:val="en-US" w:eastAsia="zh-CN"/>
        </w:rPr>
        <w:t>3</w:t>
      </w:r>
      <w:r>
        <w:rPr>
          <w:rFonts w:hint="eastAsia" w:eastAsia="仿宋_GB2312"/>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pageBreakBefore w:val="0"/>
        <w:kinsoku/>
        <w:wordWrap/>
        <w:topLinePunct w:val="0"/>
        <w:autoSpaceDE/>
        <w:autoSpaceDN/>
        <w:bidi w:val="0"/>
        <w:spacing w:line="560" w:lineRule="exact"/>
        <w:textAlignment w:val="auto"/>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textAlignment w:val="auto"/>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textAlignment w:val="auto"/>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textAlignment w:val="auto"/>
        <w:rPr>
          <w:rFonts w:hint="eastAsia" w:ascii="仿宋_GB2312" w:hAnsi="Times New Roman"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318.6</w:t>
      </w:r>
      <w:r>
        <w:rPr>
          <w:rFonts w:hint="eastAsia" w:ascii="仿宋_GB2312" w:cs="仿宋_GB2312"/>
          <w:color w:val="auto"/>
          <w:sz w:val="28"/>
          <w:szCs w:val="28"/>
          <w:highlight w:val="none"/>
        </w:rPr>
        <w:t>万元，主要用于2023年新一轮退耕还林3.186万亩延长补助资金兑现</w:t>
      </w:r>
      <w:r>
        <w:rPr>
          <w:rFonts w:hint="eastAsia" w:ascii="仿宋_GB2312" w:hAnsi="Times New Roman" w:cs="仿宋_GB2312"/>
          <w:color w:val="auto"/>
          <w:sz w:val="28"/>
          <w:szCs w:val="28"/>
          <w:highlight w:val="none"/>
        </w:rPr>
        <w:t>，</w:t>
      </w:r>
      <w:r>
        <w:rPr>
          <w:rFonts w:hint="eastAsia" w:ascii="仿宋_GB2312" w:hAnsi="Times New Roman" w:cs="仿宋_GB2312"/>
          <w:color w:val="auto"/>
          <w:sz w:val="28"/>
          <w:szCs w:val="28"/>
          <w:highlight w:val="none"/>
          <w:lang w:eastAsia="zh-CN"/>
        </w:rPr>
        <w:t>预算内容与项目内容匹配；</w:t>
      </w:r>
    </w:p>
    <w:p>
      <w:pPr>
        <w:pageBreakBefore w:val="0"/>
        <w:kinsoku/>
        <w:wordWrap/>
        <w:topLinePunct w:val="0"/>
        <w:autoSpaceDE/>
        <w:autoSpaceDN/>
        <w:bidi w:val="0"/>
        <w:spacing w:line="560" w:lineRule="exact"/>
        <w:ind w:right="0" w:rightChars="0" w:firstLine="643"/>
        <w:textAlignment w:val="auto"/>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eastAsia="仿宋_GB2312"/>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textAlignment w:val="auto"/>
        <w:rPr>
          <w:rFonts w:hint="eastAsia"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本项目资金主要用于2023年新一轮退耕还林3.186万亩延长补助资金兑现</w:t>
      </w:r>
      <w:r>
        <w:rPr>
          <w:rFonts w:hint="eastAsia" w:ascii="仿宋_GB2312" w:cs="仿宋_GB2312"/>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textAlignment w:val="auto"/>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textAlignment w:val="auto"/>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自治区林草局《关于提前下达2023年中央财政林业改革发展资金任务的通知》（新林规字〔2022〕261号）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textAlignment w:val="auto"/>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318.6</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pageBreakBefore w:val="0"/>
        <w:kinsoku/>
        <w:wordWrap/>
        <w:topLinePunct w:val="0"/>
        <w:autoSpaceDE/>
        <w:autoSpaceDN/>
        <w:bidi w:val="0"/>
        <w:spacing w:line="560" w:lineRule="exact"/>
        <w:textAlignment w:val="auto"/>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eastAsia="仿宋_GB2312"/>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19.54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97.68</w:t>
      </w:r>
      <w:r>
        <w:rPr>
          <w:rFonts w:hint="eastAsia" w:ascii="仿宋_GB2312" w:cs="仿宋_GB2312"/>
          <w:color w:val="auto"/>
          <w:sz w:val="28"/>
          <w:szCs w:val="28"/>
          <w:highlight w:val="none"/>
        </w:rPr>
        <w:t>%。</w:t>
      </w:r>
    </w:p>
    <w:p>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1.资金管理情况分析</w:t>
      </w:r>
    </w:p>
    <w:p>
      <w:pPr>
        <w:pageBreakBefore w:val="0"/>
        <w:kinsoku/>
        <w:wordWrap/>
        <w:topLinePunct w:val="0"/>
        <w:autoSpaceDE/>
        <w:autoSpaceDN/>
        <w:bidi w:val="0"/>
        <w:spacing w:line="560" w:lineRule="exact"/>
        <w:textAlignment w:val="auto"/>
        <w:rPr>
          <w:rFonts w:hint="eastAsia"/>
          <w:b/>
          <w:bCs/>
          <w:color w:val="auto"/>
          <w:highlight w:val="none"/>
        </w:rPr>
      </w:pPr>
      <w:r>
        <w:rPr>
          <w:rFonts w:hint="eastAsia"/>
          <w:b/>
          <w:bCs/>
          <w:color w:val="auto"/>
          <w:highlight w:val="none"/>
        </w:rPr>
        <w:t>（1）资金到位率：</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本项目</w:t>
      </w:r>
      <w:r>
        <w:rPr>
          <w:rFonts w:hint="eastAsia" w:ascii="Times New Roman" w:eastAsia="仿宋_GB2312"/>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318.6</w:t>
      </w:r>
      <w:r>
        <w:rPr>
          <w:rFonts w:hint="eastAsia"/>
          <w:color w:val="auto"/>
          <w:highlight w:val="none"/>
        </w:rPr>
        <w:t>万元，实际到位资金</w:t>
      </w:r>
      <w:r>
        <w:rPr>
          <w:rFonts w:hint="eastAsia"/>
          <w:color w:val="auto"/>
          <w:highlight w:val="none"/>
          <w:lang w:val="en-US" w:eastAsia="zh-CN"/>
        </w:rPr>
        <w:t>318.6</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rPr>
        <w:t>综上所述，本指标满分为</w:t>
      </w:r>
      <w:r>
        <w:rPr>
          <w:rFonts w:hint="eastAsia" w:ascii="Times New Roman" w:eastAsia="仿宋_GB2312"/>
          <w:color w:val="auto"/>
          <w:highlight w:val="none"/>
          <w:lang w:val="en-US" w:eastAsia="zh-CN"/>
        </w:rPr>
        <w:t>4</w:t>
      </w:r>
      <w:r>
        <w:rPr>
          <w:rFonts w:hint="eastAsia"/>
          <w:color w:val="auto"/>
          <w:highlight w:val="none"/>
        </w:rPr>
        <w:t>分，根据评分标准得</w:t>
      </w:r>
      <w:r>
        <w:rPr>
          <w:rFonts w:hint="eastAsia" w:ascii="Times New Roman" w:eastAsia="仿宋_GB2312"/>
          <w:color w:val="auto"/>
          <w:highlight w:val="none"/>
          <w:lang w:val="en-US" w:eastAsia="zh-CN"/>
        </w:rPr>
        <w:t>4</w:t>
      </w:r>
      <w:r>
        <w:rPr>
          <w:rFonts w:hint="eastAsia"/>
          <w:color w:val="auto"/>
          <w:highlight w:val="none"/>
        </w:rPr>
        <w:t>分,本项目资金到位率为</w:t>
      </w:r>
      <w:r>
        <w:rPr>
          <w:rFonts w:hint="eastAsia" w:ascii="Times New Roman" w:eastAsia="仿宋_GB2312"/>
          <w:color w:val="auto"/>
          <w:highlight w:val="none"/>
          <w:lang w:val="en-US" w:eastAsia="zh-CN"/>
        </w:rPr>
        <w:t>100</w:t>
      </w:r>
      <w:r>
        <w:rPr>
          <w:rFonts w:hint="eastAsia"/>
          <w:color w:val="auto"/>
          <w:highlight w:val="none"/>
        </w:rPr>
        <w:t>%</w:t>
      </w:r>
      <w:r>
        <w:rPr>
          <w:rFonts w:hint="eastAsia" w:eastAsia="仿宋_GB2312"/>
          <w:color w:val="auto"/>
          <w:highlight w:val="none"/>
          <w:lang w:eastAsia="zh-CN"/>
        </w:rPr>
        <w:t>。</w:t>
      </w:r>
    </w:p>
    <w:p>
      <w:pPr>
        <w:pageBreakBefore w:val="0"/>
        <w:kinsoku/>
        <w:wordWrap/>
        <w:topLinePunct w:val="0"/>
        <w:autoSpaceDE/>
        <w:autoSpaceDN/>
        <w:bidi w:val="0"/>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textAlignment w:val="auto"/>
        <w:rPr>
          <w:rFonts w:hint="eastAsia" w:ascii="仿宋_GB2312" w:cs="仿宋_GB2312"/>
          <w:color w:val="auto"/>
          <w:sz w:val="28"/>
          <w:szCs w:val="28"/>
          <w:highlight w:val="yellow"/>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318.6</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281.6231</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281.6231</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318.6</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=88.4</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textAlignment w:val="auto"/>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4.8</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4.24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88.4</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textAlignment w:val="auto"/>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合同法</w:t>
      </w:r>
      <w:r>
        <w:rPr>
          <w:rFonts w:hint="eastAsia"/>
          <w:color w:val="auto"/>
          <w:highlight w:val="none"/>
        </w:rPr>
        <w:t>》，资金的拨付有完整的审批程序和手续，资金实际使用方向与预算批复用途一致，不存在截留、挤占、挪用、虚列支出的情况。</w:t>
      </w:r>
    </w:p>
    <w:p>
      <w:pPr>
        <w:pageBreakBefore w:val="0"/>
        <w:kinsoku/>
        <w:wordWrap/>
        <w:topLinePunct w:val="0"/>
        <w:autoSpaceDE/>
        <w:autoSpaceDN/>
        <w:bidi w:val="0"/>
        <w:spacing w:line="560" w:lineRule="exact"/>
        <w:textAlignment w:val="auto"/>
        <w:rPr>
          <w:rFonts w:hint="default"/>
          <w:color w:val="auto"/>
          <w:highlight w:val="none"/>
          <w:lang w:val="en-US"/>
        </w:rPr>
      </w:pPr>
      <w:r>
        <w:rPr>
          <w:rFonts w:hint="eastAsia"/>
          <w:color w:val="auto"/>
          <w:highlight w:val="none"/>
        </w:rPr>
        <w:t>综上所述，本指标满分为</w:t>
      </w:r>
      <w:r>
        <w:rPr>
          <w:rFonts w:hint="eastAsia" w:ascii="Times New Roman" w:eastAsia="仿宋_GB2312"/>
          <w:color w:val="auto"/>
          <w:highlight w:val="none"/>
          <w:lang w:val="en-US" w:eastAsia="zh-CN"/>
        </w:rPr>
        <w:t>4</w:t>
      </w:r>
      <w:r>
        <w:rPr>
          <w:rFonts w:hint="eastAsia"/>
          <w:color w:val="auto"/>
          <w:highlight w:val="none"/>
        </w:rPr>
        <w:t>分，根据评分标准得</w:t>
      </w:r>
      <w:r>
        <w:rPr>
          <w:rFonts w:hint="eastAsia" w:ascii="Times New Roman" w:eastAsia="仿宋_GB2312"/>
          <w:color w:val="auto"/>
          <w:highlight w:val="none"/>
          <w:lang w:val="en-US" w:eastAsia="zh-CN"/>
        </w:rPr>
        <w:t>4</w:t>
      </w:r>
      <w:r>
        <w:rPr>
          <w:rFonts w:hint="eastAsia"/>
          <w:color w:val="auto"/>
          <w:highlight w:val="none"/>
        </w:rPr>
        <w:t>分,本项目</w:t>
      </w:r>
      <w:r>
        <w:rPr>
          <w:rFonts w:hint="eastAsia" w:ascii="Times New Roman" w:eastAsia="仿宋_GB2312"/>
          <w:color w:val="auto"/>
          <w:highlight w:val="none"/>
          <w:lang w:val="en-US" w:eastAsia="zh-CN"/>
        </w:rPr>
        <w:t>资金使用合规。</w:t>
      </w:r>
    </w:p>
    <w:p>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2.组织实施情况分析</w:t>
      </w:r>
    </w:p>
    <w:p>
      <w:pPr>
        <w:pageBreakBefore w:val="0"/>
        <w:kinsoku/>
        <w:wordWrap/>
        <w:topLinePunct w:val="0"/>
        <w:autoSpaceDE/>
        <w:autoSpaceDN/>
        <w:bidi w:val="0"/>
        <w:spacing w:line="560" w:lineRule="exact"/>
        <w:textAlignment w:val="auto"/>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我单位已制定《托克逊县</w:t>
      </w:r>
      <w:r>
        <w:rPr>
          <w:rFonts w:hint="eastAsia"/>
          <w:color w:val="auto"/>
          <w:highlight w:val="none"/>
          <w:lang w:eastAsia="zh-CN"/>
        </w:rPr>
        <w:t>林草局</w:t>
      </w:r>
      <w:r>
        <w:rPr>
          <w:rFonts w:hint="eastAsia"/>
          <w:color w:val="auto"/>
          <w:highlight w:val="none"/>
        </w:rPr>
        <w:t>单位资金管理办法》、《财务管理办法》、《内部控制管理制度》等，上述已建立的制度均符合行政事业单位内控管理要求，财务和业务管理制度合法、合规、完整，本项目执行符合上述制度规定。</w:t>
      </w:r>
    </w:p>
    <w:p>
      <w:pPr>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rPr>
        <w:t>综上所述，本指标满分为</w:t>
      </w:r>
      <w:r>
        <w:rPr>
          <w:rFonts w:hint="eastAsia" w:ascii="Times New Roman" w:eastAsia="仿宋_GB2312"/>
          <w:color w:val="auto"/>
          <w:highlight w:val="none"/>
          <w:lang w:val="en-US" w:eastAsia="zh-CN"/>
        </w:rPr>
        <w:t>4</w:t>
      </w:r>
      <w:r>
        <w:rPr>
          <w:rFonts w:hint="eastAsia"/>
          <w:color w:val="auto"/>
          <w:highlight w:val="none"/>
        </w:rPr>
        <w:t>分，根据评分标准得</w:t>
      </w:r>
      <w:r>
        <w:rPr>
          <w:rFonts w:hint="eastAsia" w:ascii="Times New Roman" w:eastAsia="仿宋_GB2312"/>
          <w:color w:val="auto"/>
          <w:highlight w:val="none"/>
          <w:lang w:val="en-US" w:eastAsia="zh-CN"/>
        </w:rPr>
        <w:t>4</w:t>
      </w:r>
      <w:r>
        <w:rPr>
          <w:rFonts w:hint="eastAsia"/>
          <w:color w:val="auto"/>
          <w:highlight w:val="none"/>
        </w:rPr>
        <w:t>分,本项目管理制度健全</w:t>
      </w:r>
      <w:r>
        <w:rPr>
          <w:rFonts w:hint="eastAsia" w:ascii="Times New Roman" w:eastAsia="仿宋_GB2312"/>
          <w:color w:val="auto"/>
          <w:highlight w:val="none"/>
          <w:lang w:val="en-US" w:eastAsia="zh-CN"/>
        </w:rPr>
        <w:t>。</w:t>
      </w:r>
    </w:p>
    <w:p>
      <w:pPr>
        <w:pageBreakBefore w:val="0"/>
        <w:kinsoku/>
        <w:wordWrap/>
        <w:topLinePunct w:val="0"/>
        <w:autoSpaceDE/>
        <w:autoSpaceDN/>
        <w:bidi w:val="0"/>
        <w:spacing w:line="560" w:lineRule="exact"/>
        <w:textAlignment w:val="auto"/>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textAlignment w:val="auto"/>
        <w:rPr>
          <w:rFonts w:hint="eastAsia"/>
          <w:color w:val="auto"/>
          <w:highlight w:val="none"/>
        </w:rPr>
      </w:pPr>
      <w:r>
        <w:rPr>
          <w:rFonts w:hint="eastAsia" w:eastAsia="仿宋_GB2312"/>
          <w:color w:val="auto"/>
          <w:highlight w:val="none"/>
          <w:lang w:eastAsia="zh-CN"/>
        </w:rPr>
        <w:t>①</w:t>
      </w:r>
      <w:r>
        <w:rPr>
          <w:rFonts w:hint="eastAsia"/>
          <w:color w:val="auto"/>
          <w:highlight w:val="none"/>
        </w:rPr>
        <w:t>该项目的</w:t>
      </w:r>
      <w:r>
        <w:rPr>
          <w:rFonts w:hint="eastAsia" w:ascii="Times New Roman" w:eastAsia="仿宋_GB2312"/>
          <w:color w:val="auto"/>
          <w:highlight w:val="none"/>
          <w:lang w:val="en-US" w:eastAsia="zh-CN"/>
        </w:rPr>
        <w:t>实施</w:t>
      </w:r>
      <w:r>
        <w:rPr>
          <w:rFonts w:hint="eastAsia"/>
          <w:color w:val="auto"/>
          <w:highlight w:val="none"/>
        </w:rPr>
        <w:t>符合《财务管理办法》、《内部控制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pageBreakBefore w:val="0"/>
        <w:kinsoku/>
        <w:wordWrap/>
        <w:topLinePunct w:val="0"/>
        <w:autoSpaceDE/>
        <w:autoSpaceDN/>
        <w:bidi w:val="0"/>
        <w:spacing w:line="560" w:lineRule="exact"/>
        <w:textAlignment w:val="auto"/>
        <w:rPr>
          <w:rFonts w:hint="eastAsia"/>
          <w:color w:val="auto"/>
          <w:highlight w:val="none"/>
        </w:rPr>
      </w:pPr>
      <w:r>
        <w:rPr>
          <w:rFonts w:hint="eastAsia" w:eastAsia="仿宋_GB2312"/>
          <w:color w:val="auto"/>
          <w:highlight w:val="none"/>
          <w:lang w:eastAsia="zh-CN"/>
        </w:rPr>
        <w:t>②</w:t>
      </w:r>
      <w:r>
        <w:rPr>
          <w:rFonts w:hint="eastAsia"/>
          <w:color w:val="auto"/>
          <w:highlight w:val="none"/>
        </w:rPr>
        <w:t>经现场查证项目合同书、验收评审表、财务支付凭证等资料齐全并及时归档。</w:t>
      </w:r>
    </w:p>
    <w:p>
      <w:pPr>
        <w:pageBreakBefore w:val="0"/>
        <w:kinsoku/>
        <w:wordWrap/>
        <w:topLinePunct w:val="0"/>
        <w:autoSpaceDE/>
        <w:autoSpaceDN/>
        <w:bidi w:val="0"/>
        <w:spacing w:line="560" w:lineRule="exact"/>
        <w:textAlignment w:val="auto"/>
        <w:rPr>
          <w:rFonts w:hint="eastAsia"/>
          <w:color w:val="auto"/>
          <w:highlight w:val="none"/>
          <w:lang w:eastAsia="zh-CN"/>
        </w:rPr>
      </w:pPr>
      <w:r>
        <w:rPr>
          <w:rFonts w:hint="eastAsia" w:eastAsia="仿宋_GB2312"/>
          <w:color w:val="auto"/>
          <w:highlight w:val="none"/>
          <w:lang w:eastAsia="zh-CN"/>
        </w:rPr>
        <w:t>③本项目不存在调整。</w:t>
      </w:r>
    </w:p>
    <w:p>
      <w:pPr>
        <w:pageBreakBefore w:val="0"/>
        <w:kinsoku/>
        <w:wordWrap/>
        <w:topLinePunct w:val="0"/>
        <w:autoSpaceDE/>
        <w:autoSpaceDN/>
        <w:bidi w:val="0"/>
        <w:spacing w:line="560" w:lineRule="exact"/>
        <w:textAlignment w:val="auto"/>
        <w:rPr>
          <w:rFonts w:hint="eastAsia"/>
          <w:color w:val="auto"/>
          <w:highlight w:val="none"/>
        </w:rPr>
      </w:pPr>
      <w:r>
        <w:rPr>
          <w:rFonts w:hint="eastAsia" w:eastAsia="仿宋_GB2312"/>
          <w:color w:val="auto"/>
          <w:highlight w:val="none"/>
          <w:lang w:eastAsia="zh-CN"/>
        </w:rPr>
        <w:t>④本项目实施所需要的项目人员和场地设备均已落实到位，具体涉及内容包括：为确保项目的顺利实施我单位</w:t>
      </w:r>
      <w:r>
        <w:rPr>
          <w:rFonts w:hint="eastAsia" w:ascii="Times New Roman" w:eastAsia="仿宋_GB2312"/>
          <w:color w:val="auto"/>
          <w:highlight w:val="none"/>
          <w:lang w:val="en-US" w:eastAsia="zh-CN"/>
        </w:rPr>
        <w:t>有明确的岗位职责分工</w:t>
      </w:r>
      <w:r>
        <w:rPr>
          <w:rFonts w:hint="eastAsia" w:eastAsia="仿宋_GB2312"/>
          <w:color w:val="auto"/>
          <w:highlight w:val="none"/>
          <w:lang w:eastAsia="zh-CN"/>
        </w:rPr>
        <w:t>，人员均已配备到位，项目实施过程中所需</w:t>
      </w:r>
      <w:r>
        <w:rPr>
          <w:rFonts w:hint="eastAsia" w:ascii="Times New Roman" w:eastAsia="仿宋_GB2312"/>
          <w:color w:val="auto"/>
          <w:highlight w:val="none"/>
          <w:lang w:val="en-US" w:eastAsia="zh-CN"/>
        </w:rPr>
        <w:t>的各项</w:t>
      </w:r>
      <w:r>
        <w:rPr>
          <w:rFonts w:hint="eastAsia" w:eastAsia="仿宋_GB2312"/>
          <w:color w:val="auto"/>
          <w:highlight w:val="none"/>
          <w:lang w:eastAsia="zh-CN"/>
        </w:rPr>
        <w:t>配套也已</w:t>
      </w:r>
      <w:r>
        <w:rPr>
          <w:rFonts w:hint="eastAsia" w:ascii="Times New Roman" w:eastAsia="仿宋_GB2312"/>
          <w:color w:val="auto"/>
          <w:highlight w:val="none"/>
          <w:lang w:val="en-US" w:eastAsia="zh-CN"/>
        </w:rPr>
        <w:t>具备</w:t>
      </w:r>
      <w:r>
        <w:rPr>
          <w:rFonts w:hint="eastAsia" w:eastAsia="仿宋_GB2312"/>
          <w:color w:val="auto"/>
          <w:highlight w:val="none"/>
          <w:lang w:eastAsia="zh-CN"/>
        </w:rPr>
        <w:t>。</w:t>
      </w:r>
    </w:p>
    <w:p>
      <w:pPr>
        <w:pageBreakBefore w:val="0"/>
        <w:kinsoku/>
        <w:wordWrap/>
        <w:topLinePunct w:val="0"/>
        <w:autoSpaceDE/>
        <w:autoSpaceDN/>
        <w:bidi w:val="0"/>
        <w:spacing w:line="560" w:lineRule="exact"/>
        <w:textAlignment w:val="auto"/>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pageBreakBefore w:val="0"/>
        <w:kinsoku/>
        <w:wordWrap/>
        <w:topLinePunct w:val="0"/>
        <w:autoSpaceDE/>
        <w:autoSpaceDN/>
        <w:bidi w:val="0"/>
        <w:spacing w:line="560" w:lineRule="exact"/>
        <w:textAlignment w:val="auto"/>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1.数量指标完成情况分析</w:t>
      </w:r>
    </w:p>
    <w:p>
      <w:pPr>
        <w:pageBreakBefore w:val="0"/>
        <w:kinsoku/>
        <w:wordWrap/>
        <w:topLinePunct w:val="0"/>
        <w:autoSpaceDE/>
        <w:autoSpaceDN/>
        <w:bidi w:val="0"/>
        <w:spacing w:line="560" w:lineRule="exact"/>
        <w:textAlignment w:val="auto"/>
        <w:rPr>
          <w:rFonts w:hint="default" w:eastAsia="仿宋_GB2312"/>
          <w:color w:val="auto"/>
          <w:highlight w:val="none"/>
          <w:lang w:val="en-US" w:eastAsia="zh-CN"/>
        </w:rPr>
      </w:pPr>
      <w:r>
        <w:rPr>
          <w:rFonts w:hint="eastAsia" w:ascii="仿宋_GB2312" w:hAnsi="仿宋_GB2312" w:cs="仿宋_GB2312"/>
          <w:color w:val="auto"/>
          <w:sz w:val="28"/>
          <w:szCs w:val="28"/>
          <w:highlight w:val="none"/>
          <w:lang w:val="en-US" w:eastAsia="zh-CN"/>
        </w:rPr>
        <w:t>“新一轮退耕还林延长期补助面积”指标，预期指标值为3.19万亩</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2.8162万亩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88.3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4.23</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未完成原因</w:t>
      </w:r>
      <w:r>
        <w:rPr>
          <w:rFonts w:hint="eastAsia" w:ascii="仿宋_GB2312" w:hAnsi="仿宋_GB2312" w:cs="仿宋_GB2312"/>
          <w:color w:val="auto"/>
          <w:sz w:val="28"/>
          <w:szCs w:val="28"/>
          <w:highlight w:val="none"/>
          <w:lang w:val="en-US" w:eastAsia="zh-CN"/>
        </w:rPr>
        <w:t>:2023年退耕还林工作已完成,部分农户验收不合格,待验收合格后发放补助.</w:t>
      </w:r>
    </w:p>
    <w:p>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2.质量指标完成情况分析</w:t>
      </w:r>
    </w:p>
    <w:p>
      <w:pPr>
        <w:pageBreakBefore w:val="0"/>
        <w:kinsoku/>
        <w:wordWrap/>
        <w:topLinePunct w:val="0"/>
        <w:autoSpaceDE/>
        <w:autoSpaceDN/>
        <w:bidi w:val="0"/>
        <w:spacing w:line="560" w:lineRule="exact"/>
        <w:textAlignment w:val="auto"/>
        <w:rPr>
          <w:rFonts w:hint="eastAsia" w:ascii="仿宋_GB2312" w:hAnsi="仿宋_GB2312" w:cs="仿宋_GB2312"/>
          <w:color w:val="auto"/>
          <w:sz w:val="28"/>
          <w:szCs w:val="28"/>
          <w:highlight w:val="yellow"/>
          <w:lang w:val="en-US" w:eastAsia="zh-CN"/>
        </w:rPr>
      </w:pPr>
      <w:r>
        <w:rPr>
          <w:rFonts w:hint="eastAsia" w:ascii="仿宋_GB2312" w:hAnsi="仿宋_GB2312" w:cs="仿宋_GB2312"/>
          <w:color w:val="auto"/>
          <w:sz w:val="28"/>
          <w:szCs w:val="28"/>
          <w:highlight w:val="none"/>
          <w:lang w:val="en-US" w:eastAsia="zh-CN"/>
        </w:rPr>
        <w:t>“资金规范使用率”指标，预期指标值为100%，实际完成指标值为100%，指标完成率为100%。本指标满分为4.8分，根据评分标准，该指标得4.8分。</w:t>
      </w:r>
    </w:p>
    <w:p>
      <w:pPr>
        <w:pageBreakBefore w:val="0"/>
        <w:kinsoku/>
        <w:wordWrap/>
        <w:topLinePunct w:val="0"/>
        <w:autoSpaceDE/>
        <w:autoSpaceDN/>
        <w:bidi w:val="0"/>
        <w:spacing w:line="560" w:lineRule="exact"/>
        <w:textAlignment w:val="auto"/>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“退耕还林达标率”指标，预期指标值为100%，实际完成指标值:100%，指标完成率为100%。本指标满分为4.8分，根据评分标准，该指标得4.8分。</w:t>
      </w:r>
    </w:p>
    <w:p>
      <w:pPr>
        <w:pageBreakBefore w:val="0"/>
        <w:kinsoku/>
        <w:wordWrap/>
        <w:topLinePunct w:val="0"/>
        <w:autoSpaceDE/>
        <w:autoSpaceDN/>
        <w:bidi w:val="0"/>
        <w:spacing w:line="560" w:lineRule="exact"/>
        <w:textAlignment w:val="auto"/>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“退耕还林地合格率（株数保存率）”指标，预期指标值为大于等于65%，实际完成指标值:88.4%，指标完成率为100%。本指标满分为4.8分，根据评分标准，该指标得4.8分。</w:t>
      </w:r>
    </w:p>
    <w:p>
      <w:pPr>
        <w:pStyle w:val="5"/>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lang w:val="en-US" w:eastAsia="zh-CN"/>
        </w:rPr>
        <w:t>3.时效指标完成情况分析</w:t>
      </w:r>
    </w:p>
    <w:p>
      <w:pPr>
        <w:pageBreakBefore w:val="0"/>
        <w:kinsoku/>
        <w:wordWrap/>
        <w:topLinePunct w:val="0"/>
        <w:autoSpaceDE/>
        <w:autoSpaceDN/>
        <w:bidi w:val="0"/>
        <w:spacing w:line="560" w:lineRule="exact"/>
        <w:textAlignment w:val="auto"/>
        <w:rPr>
          <w:rFonts w:hint="eastAsia" w:ascii="仿宋_GB2312" w:hAnsi="仿宋_GB2312" w:cs="仿宋_GB2312"/>
          <w:color w:val="auto"/>
          <w:sz w:val="28"/>
          <w:szCs w:val="28"/>
          <w:highlight w:val="none"/>
        </w:rPr>
      </w:pPr>
      <w:r>
        <w:rPr>
          <w:rFonts w:hint="eastAsia"/>
          <w:color w:val="auto"/>
          <w:highlight w:val="none"/>
        </w:rPr>
        <w:t>“项目及时完成率”指标，预期指标值为</w:t>
      </w:r>
      <w:r>
        <w:rPr>
          <w:rFonts w:hint="eastAsia"/>
          <w:color w:val="auto"/>
          <w:highlight w:val="none"/>
          <w:lang w:eastAsia="zh-CN"/>
        </w:rPr>
        <w:t>大于等于</w:t>
      </w:r>
      <w:r>
        <w:rPr>
          <w:rFonts w:hint="eastAsia"/>
          <w:color w:val="auto"/>
          <w:highlight w:val="none"/>
        </w:rPr>
        <w:t>85%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88.4%。</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4.8</w:t>
      </w:r>
      <w:r>
        <w:rPr>
          <w:rFonts w:hint="eastAsia" w:ascii="仿宋_GB2312" w:hAnsi="仿宋_GB2312" w:cs="仿宋_GB2312"/>
          <w:color w:val="auto"/>
          <w:sz w:val="28"/>
          <w:szCs w:val="28"/>
          <w:highlight w:val="none"/>
        </w:rPr>
        <w:t>分。</w:t>
      </w:r>
    </w:p>
    <w:p>
      <w:pPr>
        <w:pStyle w:val="5"/>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r>
        <w:rPr>
          <w:rFonts w:hint="eastAsia" w:cs="仿宋_GB2312"/>
          <w:color w:val="auto"/>
          <w:sz w:val="32"/>
          <w:highlight w:val="none"/>
          <w:lang w:val="en-US" w:eastAsia="zh-CN"/>
        </w:rPr>
        <w:t>(四)</w:t>
      </w:r>
      <w:r>
        <w:rPr>
          <w:rFonts w:hint="eastAsia" w:ascii="仿宋_GB2312" w:hAnsi="仿宋_GB2312" w:cs="仿宋_GB2312"/>
          <w:color w:val="auto"/>
          <w:sz w:val="32"/>
          <w:highlight w:val="none"/>
          <w:lang w:eastAsia="zh-CN"/>
        </w:rPr>
        <w:t>成本</w:t>
      </w:r>
      <w:r>
        <w:rPr>
          <w:rFonts w:hint="eastAsia" w:ascii="仿宋_GB2312" w:hAnsi="仿宋_GB2312" w:cs="仿宋_GB2312"/>
          <w:color w:val="auto"/>
          <w:sz w:val="32"/>
          <w:highlight w:val="none"/>
        </w:rPr>
        <w:t>产出情况</w:t>
      </w:r>
    </w:p>
    <w:p>
      <w:pPr>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eastAsia="zh-CN"/>
        </w:rPr>
        <w:t>项目成本类指标由</w:t>
      </w:r>
      <w:r>
        <w:rPr>
          <w:rFonts w:hint="eastAsia"/>
          <w:color w:val="auto"/>
          <w:highlight w:val="none"/>
          <w:lang w:val="en-US" w:eastAsia="zh-CN"/>
        </w:rPr>
        <w:t>1</w:t>
      </w:r>
      <w:r>
        <w:rPr>
          <w:rFonts w:hint="eastAsia"/>
          <w:color w:val="auto"/>
          <w:highlight w:val="none"/>
          <w:lang w:eastAsia="zh-CN"/>
        </w:rPr>
        <w:t>个二级指标和</w:t>
      </w:r>
      <w:r>
        <w:rPr>
          <w:rFonts w:hint="eastAsia"/>
          <w:color w:val="auto"/>
          <w:highlight w:val="none"/>
          <w:lang w:val="en-US" w:eastAsia="zh-CN"/>
        </w:rPr>
        <w:t>1</w:t>
      </w:r>
      <w:r>
        <w:rPr>
          <w:rFonts w:hint="eastAsia"/>
          <w:color w:val="auto"/>
          <w:highlight w:val="none"/>
          <w:lang w:eastAsia="zh-CN"/>
        </w:rPr>
        <w:t>个三级指标构成</w:t>
      </w:r>
      <w:r>
        <w:rPr>
          <w:rFonts w:hint="eastAsia"/>
          <w:color w:val="auto"/>
          <w:highlight w:val="none"/>
        </w:rPr>
        <w:t>，权重分为</w:t>
      </w:r>
      <w:r>
        <w:rPr>
          <w:rFonts w:hint="eastAsia"/>
          <w:color w:val="auto"/>
          <w:highlight w:val="none"/>
          <w:lang w:val="en-US" w:eastAsia="zh-CN"/>
        </w:rPr>
        <w:t>12</w:t>
      </w:r>
      <w:r>
        <w:rPr>
          <w:rFonts w:hint="eastAsia"/>
          <w:color w:val="auto"/>
          <w:highlight w:val="none"/>
        </w:rPr>
        <w:t>分，实际得分</w:t>
      </w:r>
      <w:r>
        <w:rPr>
          <w:rFonts w:hint="eastAsia"/>
          <w:color w:val="auto"/>
          <w:highlight w:val="none"/>
          <w:lang w:val="en-US" w:eastAsia="zh-CN"/>
        </w:rPr>
        <w:t>12</w:t>
      </w:r>
      <w:r>
        <w:rPr>
          <w:rFonts w:hint="eastAsia"/>
          <w:color w:val="auto"/>
          <w:highlight w:val="none"/>
        </w:rPr>
        <w:t>分，得分率为</w:t>
      </w:r>
      <w:r>
        <w:rPr>
          <w:rFonts w:hint="eastAsia"/>
          <w:color w:val="auto"/>
          <w:highlight w:val="none"/>
          <w:lang w:val="en-US" w:eastAsia="zh-CN"/>
        </w:rPr>
        <w:t>100</w:t>
      </w:r>
      <w:r>
        <w:rPr>
          <w:rFonts w:hint="eastAsia"/>
          <w:color w:val="auto"/>
          <w:highlight w:val="none"/>
        </w:rPr>
        <w:t>%。</w:t>
      </w:r>
    </w:p>
    <w:p>
      <w:pPr>
        <w:pStyle w:val="5"/>
        <w:pageBreakBefore w:val="0"/>
        <w:kinsoku/>
        <w:wordWrap/>
        <w:topLinePunct w:val="0"/>
        <w:autoSpaceDE/>
        <w:autoSpaceDN/>
        <w:bidi w:val="0"/>
        <w:spacing w:line="560" w:lineRule="exact"/>
        <w:textAlignment w:val="auto"/>
        <w:rPr>
          <w:rFonts w:hint="eastAsia"/>
          <w:color w:val="auto"/>
          <w:highlight w:val="none"/>
        </w:rPr>
      </w:pPr>
      <w:r>
        <w:rPr>
          <w:rFonts w:hint="eastAsia"/>
          <w:color w:val="auto"/>
          <w:highlight w:val="none"/>
          <w:lang w:val="en-US" w:eastAsia="zh-CN"/>
        </w:rPr>
        <w:t>1.经济成本指标完成情况分析</w:t>
      </w:r>
    </w:p>
    <w:p>
      <w:pPr>
        <w:pageBreakBefore w:val="0"/>
        <w:kinsoku/>
        <w:wordWrap/>
        <w:topLinePunct w:val="0"/>
        <w:autoSpaceDE/>
        <w:autoSpaceDN/>
        <w:bidi w:val="0"/>
        <w:spacing w:line="560" w:lineRule="exact"/>
        <w:textAlignment w:val="auto"/>
        <w:rPr>
          <w:rFonts w:hint="default"/>
          <w:color w:val="auto"/>
          <w:highlight w:val="none"/>
          <w:lang w:val="en-US" w:eastAsia="zh-CN"/>
        </w:rPr>
      </w:pPr>
      <w:r>
        <w:rPr>
          <w:rFonts w:hint="eastAsia"/>
          <w:color w:val="auto"/>
          <w:highlight w:val="none"/>
        </w:rPr>
        <w:t>“新一轮退耕还林还草延长期补助标准”指标，预期指标值为100元/亩</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1</w:t>
      </w:r>
      <w:r>
        <w:rPr>
          <w:rFonts w:hint="eastAsia"/>
          <w:color w:val="auto"/>
          <w:highlight w:val="none"/>
        </w:rPr>
        <w:t>00元/亩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pStyle w:val="4"/>
        <w:pageBreakBefore w:val="0"/>
        <w:kinsoku/>
        <w:wordWrap/>
        <w:topLinePunct w:val="0"/>
        <w:autoSpaceDE/>
        <w:autoSpaceDN/>
        <w:bidi w:val="0"/>
        <w:spacing w:line="560" w:lineRule="exact"/>
        <w:textAlignment w:val="auto"/>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eastAsia="zh-CN"/>
        </w:rPr>
        <w:t>五</w:t>
      </w:r>
      <w:r>
        <w:rPr>
          <w:rFonts w:hint="eastAsia" w:ascii="仿宋_GB2312" w:hAnsi="仿宋_GB2312" w:cs="仿宋_GB2312"/>
          <w:color w:val="auto"/>
          <w:sz w:val="32"/>
          <w:highlight w:val="none"/>
        </w:rPr>
        <w:t>）项目效益情况</w:t>
      </w:r>
    </w:p>
    <w:p>
      <w:pPr>
        <w:pageBreakBefore w:val="0"/>
        <w:kinsoku/>
        <w:wordWrap/>
        <w:topLinePunct w:val="0"/>
        <w:autoSpaceDE/>
        <w:autoSpaceDN/>
        <w:bidi w:val="0"/>
        <w:spacing w:line="560" w:lineRule="exact"/>
        <w:textAlignment w:val="auto"/>
        <w:rPr>
          <w:rFonts w:hint="eastAsia" w:ascii="仿宋_GB2312" w:cs="仿宋_GB2312"/>
          <w:color w:val="auto"/>
          <w:sz w:val="28"/>
          <w:szCs w:val="28"/>
          <w:highlight w:val="none"/>
        </w:rPr>
      </w:pPr>
      <w:r>
        <w:rPr>
          <w:rFonts w:hint="eastAsia" w:eastAsia="仿宋_GB2312"/>
          <w:color w:val="auto"/>
          <w:highlight w:val="none"/>
          <w:lang w:eastAsia="zh-CN"/>
        </w:rPr>
        <w:t>项目效益类指标由</w:t>
      </w:r>
      <w:r>
        <w:rPr>
          <w:rFonts w:hint="eastAsia" w:ascii="仿宋_GB2312" w:cs="仿宋_GB2312"/>
          <w:color w:val="auto"/>
          <w:sz w:val="28"/>
          <w:szCs w:val="28"/>
          <w:highlight w:val="none"/>
          <w:lang w:val="en-US" w:eastAsia="zh-CN"/>
        </w:rPr>
        <w:t>4</w:t>
      </w:r>
      <w:r>
        <w:rPr>
          <w:rFonts w:hint="eastAsia" w:eastAsia="仿宋_GB2312"/>
          <w:color w:val="auto"/>
          <w:highlight w:val="none"/>
          <w:lang w:eastAsia="zh-CN"/>
        </w:rPr>
        <w:t>个二级指标和</w:t>
      </w:r>
      <w:r>
        <w:rPr>
          <w:rFonts w:hint="eastAsia" w:ascii="仿宋_GB2312" w:cs="仿宋_GB2312"/>
          <w:color w:val="auto"/>
          <w:sz w:val="28"/>
          <w:szCs w:val="28"/>
          <w:highlight w:val="none"/>
          <w:lang w:val="en-US" w:eastAsia="zh-CN"/>
        </w:rPr>
        <w:t>5</w:t>
      </w:r>
      <w:r>
        <w:rPr>
          <w:rFonts w:hint="eastAsia" w:eastAsia="仿宋_GB2312"/>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pageBreakBefore w:val="0"/>
        <w:kinsoku/>
        <w:wordWrap/>
        <w:topLinePunct w:val="0"/>
        <w:autoSpaceDE/>
        <w:autoSpaceDN/>
        <w:bidi w:val="0"/>
        <w:spacing w:line="560" w:lineRule="exact"/>
        <w:textAlignment w:val="auto"/>
        <w:rPr>
          <w:rFonts w:hint="eastAsia" w:ascii="仿宋_GB2312" w:hAnsi="仿宋_GB2312" w:eastAsia="仿宋_GB2312" w:cs="仿宋_GB2312"/>
          <w:b/>
          <w:bCs/>
          <w:color w:val="auto"/>
          <w:kern w:val="0"/>
          <w:sz w:val="28"/>
          <w:szCs w:val="28"/>
          <w:highlight w:val="none"/>
          <w:lang w:val="en-US" w:eastAsia="zh-CN" w:bidi="ar-SA"/>
        </w:rPr>
      </w:pPr>
      <w:r>
        <w:rPr>
          <w:rFonts w:hint="eastAsia" w:cs="仿宋_GB2312"/>
          <w:b/>
          <w:bCs/>
          <w:color w:val="auto"/>
          <w:sz w:val="28"/>
          <w:szCs w:val="28"/>
          <w:highlight w:val="none"/>
          <w:lang w:val="en-US" w:eastAsia="zh-CN"/>
        </w:rPr>
        <w:t>1</w:t>
      </w:r>
      <w:r>
        <w:rPr>
          <w:rFonts w:hint="eastAsia" w:ascii="仿宋_GB2312" w:hAnsi="仿宋_GB2312" w:cs="仿宋_GB2312"/>
          <w:b/>
          <w:bCs/>
          <w:color w:val="auto"/>
          <w:sz w:val="28"/>
          <w:szCs w:val="28"/>
          <w:highlight w:val="none"/>
          <w:lang w:val="en-US" w:eastAsia="zh-CN"/>
        </w:rPr>
        <w:t>.</w:t>
      </w:r>
      <w:r>
        <w:rPr>
          <w:rFonts w:hint="eastAsia" w:cs="仿宋_GB2312"/>
          <w:b/>
          <w:bCs/>
          <w:color w:val="auto"/>
          <w:sz w:val="28"/>
          <w:szCs w:val="28"/>
          <w:highlight w:val="none"/>
          <w:lang w:val="en-US" w:eastAsia="zh-CN"/>
        </w:rPr>
        <w:t>经济效益</w:t>
      </w:r>
      <w:r>
        <w:rPr>
          <w:rFonts w:hint="eastAsia" w:ascii="仿宋_GB2312" w:hAnsi="仿宋_GB2312" w:cs="仿宋_GB2312"/>
          <w:b/>
          <w:bCs/>
          <w:color w:val="auto"/>
          <w:sz w:val="28"/>
          <w:szCs w:val="28"/>
          <w:highlight w:val="none"/>
          <w:lang w:val="en-US" w:eastAsia="zh-CN"/>
        </w:rPr>
        <w:t>指标完成情况分析</w:t>
      </w:r>
    </w:p>
    <w:p>
      <w:pPr>
        <w:pageBreakBefore w:val="0"/>
        <w:kinsoku/>
        <w:wordWrap/>
        <w:topLinePunct w:val="0"/>
        <w:autoSpaceDE/>
        <w:autoSpaceDN/>
        <w:bidi w:val="0"/>
        <w:spacing w:line="560" w:lineRule="exact"/>
        <w:textAlignment w:val="auto"/>
        <w:rPr>
          <w:rFonts w:hint="eastAsia" w:cs="仿宋_GB2312"/>
          <w:b/>
          <w:bCs/>
          <w:color w:val="auto"/>
          <w:sz w:val="28"/>
          <w:szCs w:val="28"/>
          <w:highlight w:val="none"/>
          <w:lang w:val="en-US" w:eastAsia="zh-CN"/>
        </w:rPr>
      </w:pPr>
      <w:r>
        <w:rPr>
          <w:rFonts w:hint="eastAsia"/>
          <w:color w:val="auto"/>
          <w:highlight w:val="none"/>
        </w:rPr>
        <w:t>“增加农户收入”指标，预期指标值为100元/亩</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100元/亩</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p>
    <w:p>
      <w:pPr>
        <w:pStyle w:val="5"/>
        <w:pageBreakBefore w:val="0"/>
        <w:kinsoku/>
        <w:wordWrap/>
        <w:topLinePunct w:val="0"/>
        <w:autoSpaceDE/>
        <w:autoSpaceDN/>
        <w:bidi w:val="0"/>
        <w:spacing w:line="560" w:lineRule="exact"/>
        <w:textAlignment w:val="auto"/>
        <w:rPr>
          <w:rFonts w:hint="eastAsia" w:ascii="仿宋_GB2312" w:hAnsi="仿宋_GB2312" w:eastAsia="仿宋_GB2312" w:cs="仿宋_GB2312"/>
          <w:b/>
          <w:bCs/>
          <w:color w:val="auto"/>
          <w:kern w:val="0"/>
          <w:sz w:val="28"/>
          <w:szCs w:val="28"/>
          <w:highlight w:val="none"/>
          <w:lang w:val="en-US" w:eastAsia="zh-CN" w:bidi="ar-SA"/>
        </w:rPr>
      </w:pPr>
      <w:r>
        <w:rPr>
          <w:rFonts w:hint="eastAsia" w:cs="仿宋_GB2312"/>
          <w:b/>
          <w:bCs/>
          <w:color w:val="auto"/>
          <w:sz w:val="28"/>
          <w:szCs w:val="28"/>
          <w:highlight w:val="none"/>
          <w:lang w:val="en-US" w:eastAsia="zh-CN"/>
        </w:rPr>
        <w:t>2</w:t>
      </w:r>
      <w:r>
        <w:rPr>
          <w:rFonts w:hint="eastAsia" w:ascii="仿宋_GB2312" w:hAnsi="仿宋_GB2312" w:cs="仿宋_GB2312"/>
          <w:b/>
          <w:bCs/>
          <w:color w:val="auto"/>
          <w:sz w:val="28"/>
          <w:szCs w:val="28"/>
          <w:highlight w:val="none"/>
          <w:lang w:val="en-US" w:eastAsia="zh-CN"/>
        </w:rPr>
        <w:t>.</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pageBreakBefore w:val="0"/>
        <w:kinsoku/>
        <w:wordWrap/>
        <w:topLinePunct w:val="0"/>
        <w:autoSpaceDE/>
        <w:autoSpaceDN/>
        <w:bidi w:val="0"/>
        <w:spacing w:line="560" w:lineRule="exact"/>
        <w:textAlignment w:val="auto"/>
        <w:rPr>
          <w:rFonts w:hint="eastAsia" w:ascii="仿宋_GB2312" w:hAnsi="仿宋_GB2312" w:cs="仿宋_GB2312"/>
          <w:color w:val="auto"/>
          <w:sz w:val="28"/>
          <w:szCs w:val="28"/>
          <w:highlight w:val="yellow"/>
        </w:rPr>
      </w:pPr>
      <w:r>
        <w:rPr>
          <w:rFonts w:hint="eastAsia"/>
          <w:color w:val="auto"/>
          <w:highlight w:val="none"/>
        </w:rPr>
        <w:t>“促进生态改善，农民增收和经济发展效果”指标，预期指标值为有效促进</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w:t>
      </w:r>
      <w:r>
        <w:rPr>
          <w:rFonts w:hint="eastAsia"/>
          <w:color w:val="auto"/>
          <w:highlight w:val="none"/>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p>
    <w:p>
      <w:pPr>
        <w:pStyle w:val="2"/>
        <w:rPr>
          <w:rFonts w:hint="eastAsia"/>
          <w:highlight w:val="yellow"/>
        </w:rPr>
      </w:pPr>
      <w:r>
        <w:rPr>
          <w:rFonts w:hint="eastAsia"/>
          <w:color w:val="auto"/>
          <w:highlight w:val="none"/>
        </w:rPr>
        <w:t>“</w:t>
      </w:r>
      <w:r>
        <w:rPr>
          <w:rFonts w:hint="eastAsia" w:ascii="仿宋" w:hAnsi="仿宋" w:eastAsia="仿宋" w:cs="仿宋"/>
          <w:b w:val="0"/>
          <w:bCs w:val="0"/>
          <w:kern w:val="2"/>
          <w:sz w:val="32"/>
          <w:szCs w:val="32"/>
          <w:lang w:val="en-US" w:eastAsia="zh-CN" w:bidi="ar-SA"/>
        </w:rPr>
        <w:t>长期持续发挥生态作用</w:t>
      </w:r>
      <w:r>
        <w:rPr>
          <w:rFonts w:hint="eastAsia"/>
          <w:color w:val="auto"/>
          <w:highlight w:val="none"/>
        </w:rPr>
        <w:t>”指标，预期指标值为</w:t>
      </w:r>
      <w:r>
        <w:rPr>
          <w:rFonts w:hint="eastAsia"/>
          <w:color w:val="auto"/>
          <w:highlight w:val="none"/>
          <w:lang w:val="en-US" w:eastAsia="zh-CN"/>
        </w:rPr>
        <w:t>长期发挥</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w:t>
      </w:r>
      <w:r>
        <w:rPr>
          <w:rFonts w:hint="eastAsia"/>
          <w:color w:val="auto"/>
          <w:highlight w:val="none"/>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p>
    <w:p>
      <w:pPr>
        <w:pStyle w:val="5"/>
        <w:pageBreakBefore w:val="0"/>
        <w:kinsoku/>
        <w:wordWrap/>
        <w:topLinePunct w:val="0"/>
        <w:autoSpaceDE/>
        <w:autoSpaceDN/>
        <w:bidi w:val="0"/>
        <w:spacing w:line="560" w:lineRule="exact"/>
        <w:textAlignment w:val="auto"/>
        <w:rPr>
          <w:rFonts w:hint="eastAsia" w:ascii="仿宋_GB2312" w:hAnsi="仿宋_GB2312" w:eastAsia="仿宋_GB2312" w:cs="仿宋_GB2312"/>
          <w:b/>
          <w:bCs/>
          <w:color w:val="auto"/>
          <w:kern w:val="0"/>
          <w:sz w:val="28"/>
          <w:szCs w:val="28"/>
          <w:highlight w:val="none"/>
          <w:lang w:val="en-US" w:eastAsia="zh-CN" w:bidi="ar-SA"/>
        </w:rPr>
      </w:pPr>
      <w:r>
        <w:rPr>
          <w:rFonts w:hint="eastAsia" w:cs="仿宋_GB2312"/>
          <w:b/>
          <w:bCs/>
          <w:color w:val="auto"/>
          <w:sz w:val="28"/>
          <w:szCs w:val="28"/>
          <w:highlight w:val="none"/>
          <w:lang w:val="en-US" w:eastAsia="zh-CN"/>
        </w:rPr>
        <w:t>3</w:t>
      </w:r>
      <w:r>
        <w:rPr>
          <w:rFonts w:hint="eastAsia" w:ascii="仿宋_GB2312" w:hAnsi="仿宋_GB2312" w:cs="仿宋_GB2312"/>
          <w:b/>
          <w:bCs/>
          <w:color w:val="auto"/>
          <w:sz w:val="28"/>
          <w:szCs w:val="28"/>
          <w:highlight w:val="none"/>
          <w:lang w:val="en-US" w:eastAsia="zh-CN"/>
        </w:rPr>
        <w:t>.</w:t>
      </w:r>
      <w:r>
        <w:rPr>
          <w:rFonts w:hint="eastAsia" w:cs="仿宋_GB2312"/>
          <w:b/>
          <w:bCs/>
          <w:color w:val="auto"/>
          <w:sz w:val="28"/>
          <w:szCs w:val="28"/>
          <w:highlight w:val="none"/>
          <w:lang w:val="en-US" w:eastAsia="zh-CN"/>
        </w:rPr>
        <w:t>生态效益</w:t>
      </w:r>
      <w:r>
        <w:rPr>
          <w:rFonts w:hint="eastAsia" w:ascii="仿宋_GB2312" w:hAnsi="仿宋_GB2312" w:cs="仿宋_GB2312"/>
          <w:b/>
          <w:bCs/>
          <w:color w:val="auto"/>
          <w:sz w:val="28"/>
          <w:szCs w:val="28"/>
          <w:highlight w:val="none"/>
          <w:lang w:val="en-US" w:eastAsia="zh-CN"/>
        </w:rPr>
        <w:t>指标完成情况分析</w:t>
      </w:r>
    </w:p>
    <w:p>
      <w:pPr>
        <w:pStyle w:val="11"/>
        <w:ind w:left="0" w:leftChars="0" w:firstLine="560" w:firstLineChars="200"/>
        <w:rPr>
          <w:rFonts w:hint="default"/>
          <w:highlight w:val="none"/>
          <w:lang w:val="en-US" w:eastAsia="zh-CN"/>
        </w:rPr>
      </w:pPr>
      <w:r>
        <w:rPr>
          <w:rFonts w:hint="eastAsia"/>
          <w:color w:val="auto"/>
          <w:highlight w:val="none"/>
        </w:rPr>
        <w:t>“减少水土流失，改善生态环境”指标，预期指标值为有效保护</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w:t>
      </w:r>
      <w:r>
        <w:rPr>
          <w:rFonts w:hint="eastAsia"/>
          <w:color w:val="auto"/>
          <w:highlight w:val="none"/>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p>
    <w:p>
      <w:pPr>
        <w:pStyle w:val="5"/>
        <w:pageBreakBefore w:val="0"/>
        <w:kinsoku/>
        <w:wordWrap/>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t>4.满意度指标完成情况分析</w:t>
      </w:r>
    </w:p>
    <w:p>
      <w:pPr>
        <w:pageBreakBefore w:val="0"/>
        <w:kinsoku/>
        <w:wordWrap/>
        <w:topLinePunct w:val="0"/>
        <w:autoSpaceDE/>
        <w:autoSpaceDN/>
        <w:bidi w:val="0"/>
        <w:spacing w:line="560" w:lineRule="exact"/>
        <w:textAlignment w:val="auto"/>
        <w:rPr>
          <w:rFonts w:hint="eastAsia" w:ascii="仿宋_GB2312" w:hAnsi="仿宋_GB2312" w:cs="仿宋_GB2312"/>
          <w:color w:val="auto"/>
          <w:sz w:val="28"/>
          <w:szCs w:val="28"/>
          <w:highlight w:val="none"/>
        </w:rPr>
      </w:pPr>
      <w:r>
        <w:rPr>
          <w:rFonts w:hint="eastAsia"/>
          <w:color w:val="auto"/>
          <w:highlight w:val="none"/>
        </w:rPr>
        <w:t>“退耕农户满意度”指标，预期指标值为</w:t>
      </w:r>
      <w:bookmarkStart w:id="17" w:name="_GoBack"/>
      <w:bookmarkEnd w:id="17"/>
      <w:r>
        <w:rPr>
          <w:rFonts w:hint="eastAsia"/>
          <w:color w:val="auto"/>
          <w:highlight w:val="none"/>
          <w:lang w:eastAsia="zh-CN"/>
        </w:rPr>
        <w:t>大于等于</w:t>
      </w:r>
      <w:r>
        <w:rPr>
          <w:rFonts w:hint="eastAsia"/>
          <w:color w:val="auto"/>
          <w:highlight w:val="none"/>
        </w:rPr>
        <w:t>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90.45%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r>
        <w:rPr>
          <w:rFonts w:hint="eastAsia" w:ascii="仿宋_GB2312"/>
          <w:color w:val="auto"/>
          <w:sz w:val="28"/>
          <w:szCs w:val="28"/>
          <w:highlight w:val="none"/>
        </w:rPr>
        <w:t>。</w:t>
      </w:r>
    </w:p>
    <w:p>
      <w:pPr>
        <w:pStyle w:val="3"/>
        <w:pageBreakBefore w:val="0"/>
        <w:kinsoku/>
        <w:wordWrap/>
        <w:topLinePunct w:val="0"/>
        <w:autoSpaceDE/>
        <w:autoSpaceDN/>
        <w:bidi w:val="0"/>
        <w:spacing w:line="560" w:lineRule="exact"/>
        <w:ind w:left="638" w:leftChars="228" w:firstLine="0" w:firstLineChars="0"/>
        <w:jc w:val="left"/>
        <w:textAlignment w:val="auto"/>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pStyle w:val="11"/>
        <w:widowControl/>
        <w:spacing w:after="0" w:line="560" w:lineRule="exact"/>
        <w:ind w:left="0" w:leftChars="0" w:firstLine="640"/>
        <w:rPr>
          <w:rFonts w:hint="default" w:ascii="仿宋_GB2312" w:hAnsi="仿宋_GB2312" w:cs="仿宋_GB2312"/>
          <w:color w:val="auto"/>
          <w:sz w:val="28"/>
          <w:szCs w:val="28"/>
          <w:highlight w:val="none"/>
          <w:lang w:val="en-US"/>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资金318.6</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资金318.6</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281.6231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88.3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项目绩效指标总体完成率为98.27%。</w:t>
      </w:r>
    </w:p>
    <w:p>
      <w:pPr>
        <w:pStyle w:val="3"/>
        <w:pageBreakBefore w:val="0"/>
        <w:kinsoku/>
        <w:wordWrap/>
        <w:topLinePunct w:val="0"/>
        <w:autoSpaceDE/>
        <w:autoSpaceDN/>
        <w:bidi w:val="0"/>
        <w:spacing w:line="560" w:lineRule="exact"/>
        <w:ind w:firstLine="640"/>
        <w:textAlignment w:val="auto"/>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pageBreakBefore w:val="0"/>
        <w:numPr>
          <w:ilvl w:val="0"/>
          <w:numId w:val="4"/>
        </w:numPr>
        <w:kinsoku/>
        <w:wordWrap/>
        <w:topLinePunct w:val="0"/>
        <w:autoSpaceDE/>
        <w:autoSpaceDN/>
        <w:bidi w:val="0"/>
        <w:spacing w:line="560" w:lineRule="exact"/>
        <w:ind w:firstLine="643"/>
        <w:textAlignment w:val="auto"/>
        <w:rPr>
          <w:color w:val="auto"/>
          <w:highlight w:val="none"/>
        </w:rPr>
      </w:pPr>
      <w:bookmarkStart w:id="15" w:name="_Toc1921"/>
      <w:bookmarkStart w:id="16" w:name="_Toc28290"/>
      <w:r>
        <w:rPr>
          <w:rFonts w:hint="eastAsia"/>
          <w:color w:val="auto"/>
          <w:highlight w:val="none"/>
        </w:rPr>
        <w:t>主要经验及做法</w:t>
      </w:r>
    </w:p>
    <w:bookmarkEnd w:id="15"/>
    <w:bookmarkEnd w:id="16"/>
    <w:p>
      <w:pPr>
        <w:pStyle w:val="7"/>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eastAsia="zh-CN"/>
        </w:rPr>
      </w:pPr>
      <w:r>
        <w:rPr>
          <w:rFonts w:hint="eastAsia" w:ascii="宋体" w:hAnsi="宋体" w:eastAsia="仿宋_GB2312" w:cs="宋体"/>
          <w:color w:val="auto"/>
          <w:kern w:val="0"/>
          <w:sz w:val="28"/>
          <w:szCs w:val="21"/>
          <w:highlight w:val="none"/>
          <w:lang w:val="en-US" w:eastAsia="zh-CN" w:bidi="ar"/>
        </w:rPr>
        <w:t>本项目通过组织科学合理的评价，最终得分为</w:t>
      </w:r>
      <w:r>
        <w:rPr>
          <w:rFonts w:hint="eastAsia" w:ascii="宋体" w:hAnsi="宋体" w:cs="宋体"/>
          <w:color w:val="auto"/>
          <w:kern w:val="0"/>
          <w:sz w:val="28"/>
          <w:szCs w:val="21"/>
          <w:highlight w:val="none"/>
          <w:lang w:val="en-US" w:eastAsia="zh-CN" w:bidi="ar"/>
        </w:rPr>
        <w:t>98.95</w:t>
      </w:r>
      <w:r>
        <w:rPr>
          <w:rFonts w:hint="eastAsia" w:ascii="宋体" w:hAnsi="宋体" w:eastAsia="仿宋_GB2312" w:cs="宋体"/>
          <w:color w:val="auto"/>
          <w:kern w:val="0"/>
          <w:sz w:val="28"/>
          <w:szCs w:val="21"/>
          <w:highlight w:val="none"/>
          <w:lang w:val="en-US" w:eastAsia="zh-CN" w:bidi="ar"/>
        </w:rPr>
        <w:t>分，评价结果为</w:t>
      </w:r>
      <w:r>
        <w:rPr>
          <w:rFonts w:hint="eastAsia" w:ascii="宋体" w:hAnsi="宋体" w:cs="宋体"/>
          <w:color w:val="auto"/>
          <w:kern w:val="0"/>
          <w:sz w:val="28"/>
          <w:szCs w:val="21"/>
          <w:highlight w:val="none"/>
          <w:lang w:val="en-US" w:eastAsia="zh-CN" w:bidi="ar"/>
        </w:rPr>
        <w:t>优</w:t>
      </w:r>
      <w:r>
        <w:rPr>
          <w:rFonts w:hint="eastAsia" w:ascii="宋体" w:hAnsi="宋体" w:eastAsia="仿宋_GB2312" w:cs="宋体"/>
          <w:color w:val="auto"/>
          <w:kern w:val="0"/>
          <w:sz w:val="28"/>
          <w:szCs w:val="21"/>
          <w:highlight w:val="none"/>
          <w:lang w:val="en-US" w:eastAsia="zh-CN" w:bidi="ar"/>
        </w:rPr>
        <w:t>。我</w:t>
      </w:r>
      <w:r>
        <w:rPr>
          <w:rFonts w:hint="eastAsia" w:ascii="宋体" w:hAnsi="宋体" w:cs="宋体"/>
          <w:color w:val="auto"/>
          <w:kern w:val="0"/>
          <w:sz w:val="28"/>
          <w:szCs w:val="21"/>
          <w:highlight w:val="none"/>
          <w:lang w:val="en-US" w:eastAsia="zh-CN" w:bidi="ar"/>
        </w:rPr>
        <w:t>单位</w:t>
      </w:r>
      <w:r>
        <w:rPr>
          <w:rFonts w:hint="eastAsia" w:ascii="宋体" w:hAnsi="宋体" w:eastAsia="仿宋_GB2312" w:cs="宋体"/>
          <w:color w:val="auto"/>
          <w:kern w:val="0"/>
          <w:sz w:val="28"/>
          <w:szCs w:val="21"/>
          <w:highlight w:val="none"/>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1"/>
          <w:highlight w:val="none"/>
          <w:lang w:val="en-US" w:eastAsia="zh-CN" w:bidi="ar"/>
        </w:rPr>
        <w:t>了</w:t>
      </w:r>
      <w:r>
        <w:rPr>
          <w:rFonts w:hint="eastAsia" w:ascii="宋体" w:hAnsi="宋体" w:eastAsia="仿宋_GB2312" w:cs="宋体"/>
          <w:color w:val="auto"/>
          <w:kern w:val="0"/>
          <w:sz w:val="28"/>
          <w:szCs w:val="21"/>
          <w:highlight w:val="none"/>
          <w:lang w:val="en-US" w:eastAsia="zh-CN" w:bidi="ar"/>
        </w:rPr>
        <w:t>切实可行的实施计划、管理办法等。</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560" w:lineRule="exact"/>
        <w:ind w:left="0" w:leftChars="0"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完善制度体系。为确保项目稳步落实，成立项目工作领导小组，负责项目工作的组织实施，落实责任单位，指定专人开展工作，为项目顺利开展提供强有力的组织保障。对实施主体开展全程跟踪检查指导，形成“一级抓一级，层层抓落实”的格局，确保项目工作有序开展。</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560" w:lineRule="exact"/>
        <w:ind w:left="0" w:leftChars="0"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强化业务培训。组成技术服务队，深入一线指导生产作业，全程做好技术培训与跟踪服务，提高项目工作效率和社会化服务能力。</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3.开展定期检查，确保资金使用安全。为确保项目稳步落实，项目领导小组每月至少组织开展1次项目督促检查，及时发现问题、及时整改，同时及时收集整理各类资料。县</w:t>
      </w:r>
      <w:r>
        <w:rPr>
          <w:rFonts w:hint="eastAsia" w:ascii="宋体" w:hAnsi="宋体" w:cs="宋体"/>
          <w:color w:val="auto"/>
          <w:kern w:val="0"/>
          <w:sz w:val="28"/>
          <w:szCs w:val="21"/>
          <w:highlight w:val="none"/>
          <w:lang w:val="en-US" w:eastAsia="zh-CN" w:bidi="ar"/>
        </w:rPr>
        <w:t>林草局</w:t>
      </w:r>
      <w:r>
        <w:rPr>
          <w:rFonts w:hint="eastAsia" w:ascii="宋体" w:hAnsi="宋体" w:eastAsia="仿宋_GB2312" w:cs="宋体"/>
          <w:color w:val="auto"/>
          <w:kern w:val="0"/>
          <w:sz w:val="28"/>
          <w:szCs w:val="21"/>
          <w:highlight w:val="none"/>
          <w:lang w:val="en-US" w:eastAsia="zh-CN" w:bidi="ar"/>
        </w:rPr>
        <w:t>、财政局定期对项目工作进展及项目资金使用情况进行监督和指导，任何单位不得滞留、截留、挪用项目资金，不得采取虚报、冒领等手段骗取资金。对项目执行存在重大问题、资金使用不符合要求的，依据《财政违法行为处罚处分条例》（国务院令第427号）有关规定，严肃追究相关责任人的责任，并三年内不予安排各类畜牧业项目。</w:t>
      </w:r>
    </w:p>
    <w:p>
      <w:pPr>
        <w:pStyle w:val="4"/>
        <w:pageBreakBefore w:val="0"/>
        <w:numPr>
          <w:ilvl w:val="0"/>
          <w:numId w:val="4"/>
        </w:numPr>
        <w:kinsoku/>
        <w:wordWrap/>
        <w:topLinePunct w:val="0"/>
        <w:autoSpaceDE/>
        <w:autoSpaceDN/>
        <w:bidi w:val="0"/>
        <w:spacing w:line="560" w:lineRule="exact"/>
        <w:ind w:firstLine="643"/>
        <w:textAlignment w:val="auto"/>
        <w:rPr>
          <w:color w:val="auto"/>
          <w:highlight w:val="none"/>
        </w:rPr>
      </w:pPr>
      <w:r>
        <w:rPr>
          <w:rFonts w:hint="eastAsia"/>
          <w:color w:val="auto"/>
          <w:highlight w:val="none"/>
        </w:rPr>
        <w:t>存在的问题及原因分析</w:t>
      </w:r>
    </w:p>
    <w:p>
      <w:pPr>
        <w:pStyle w:val="11"/>
        <w:ind w:left="0" w:leftChars="0" w:firstLine="560" w:firstLineChars="200"/>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该项目在实施过程中，存在预算编制不合理、精细化管理不足等问题。导致以上问题的原因：一是对预算管理工作不够重视； 二是对预算管理的相关知识缺乏足够的理解；</w:t>
      </w:r>
    </w:p>
    <w:p>
      <w:pPr>
        <w:pStyle w:val="3"/>
        <w:pageBreakBefore w:val="0"/>
        <w:kinsoku/>
        <w:wordWrap/>
        <w:topLinePunct w:val="0"/>
        <w:autoSpaceDE/>
        <w:autoSpaceDN/>
        <w:bidi w:val="0"/>
        <w:spacing w:line="560" w:lineRule="exact"/>
        <w:ind w:firstLine="640"/>
        <w:textAlignment w:val="auto"/>
        <w:rPr>
          <w:color w:val="auto"/>
          <w:highlight w:val="none"/>
        </w:rPr>
      </w:pPr>
      <w:r>
        <w:rPr>
          <w:rFonts w:hint="eastAsia"/>
          <w:color w:val="auto"/>
          <w:highlight w:val="none"/>
          <w:lang w:eastAsia="zh-CN"/>
        </w:rPr>
        <w:t>七</w:t>
      </w:r>
      <w:r>
        <w:rPr>
          <w:rFonts w:hint="eastAsia"/>
          <w:color w:val="auto"/>
          <w:highlight w:val="none"/>
        </w:rPr>
        <w:t>、有关建议</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1.进一步明确部门职责，加强资金监管，严格执行专款专用，及时足额拨付资金。</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560" w:firstLineChars="200"/>
        <w:jc w:val="left"/>
        <w:textAlignment w:val="auto"/>
        <w:rPr>
          <w:rFonts w:hint="eastAsia" w:ascii="宋体" w:hAnsi="宋体" w:eastAsia="仿宋_GB2312" w:cs="宋体"/>
          <w:color w:val="auto"/>
          <w:kern w:val="0"/>
          <w:sz w:val="28"/>
          <w:szCs w:val="21"/>
          <w:highlight w:val="none"/>
          <w:lang w:val="en-US" w:eastAsia="zh-CN" w:bidi="ar"/>
        </w:rPr>
      </w:pPr>
      <w:r>
        <w:rPr>
          <w:rFonts w:hint="eastAsia" w:ascii="宋体" w:hAnsi="宋体" w:eastAsia="仿宋_GB2312" w:cs="宋体"/>
          <w:color w:val="auto"/>
          <w:kern w:val="0"/>
          <w:sz w:val="28"/>
          <w:szCs w:val="21"/>
          <w:highlight w:val="none"/>
          <w:lang w:val="en-US" w:eastAsia="zh-CN" w:bidi="ar"/>
        </w:rPr>
        <w:t>2.根据实际情况将及时总结经验，探索建立项目的风险管理机制，完善项目实施前的风险识别及应对措施，提高资金管理及项目管理的能力，进一步提高资金的使用效率及效益。</w:t>
      </w:r>
    </w:p>
    <w:p>
      <w:pPr>
        <w:pStyle w:val="3"/>
        <w:pageBreakBefore w:val="0"/>
        <w:kinsoku/>
        <w:wordWrap/>
        <w:topLinePunct w:val="0"/>
        <w:autoSpaceDE/>
        <w:autoSpaceDN/>
        <w:bidi w:val="0"/>
        <w:spacing w:line="560" w:lineRule="exact"/>
        <w:textAlignment w:val="auto"/>
        <w:rPr>
          <w:color w:val="auto"/>
          <w:highlight w:val="none"/>
        </w:rPr>
      </w:pPr>
      <w:r>
        <w:rPr>
          <w:rFonts w:hint="eastAsia"/>
          <w:color w:val="auto"/>
          <w:highlight w:val="none"/>
          <w:lang w:eastAsia="zh-CN"/>
        </w:rPr>
        <w:t>八</w:t>
      </w:r>
      <w:r>
        <w:rPr>
          <w:rFonts w:hint="eastAsia"/>
          <w:color w:val="auto"/>
          <w:highlight w:val="none"/>
        </w:rPr>
        <w:t>、其他需要说明的问题</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right="0" w:rightChars="0" w:firstLine="560" w:firstLineChars="200"/>
        <w:jc w:val="left"/>
        <w:textAlignment w:val="auto"/>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r>
        <w:rPr>
          <w:rFonts w:hint="eastAsia" w:ascii="宋体" w:hAnsi="宋体" w:eastAsia="仿宋_GB2312" w:cs="宋体"/>
          <w:color w:val="auto"/>
          <w:kern w:val="0"/>
          <w:sz w:val="28"/>
          <w:szCs w:val="21"/>
          <w:highlight w:val="none"/>
          <w:lang w:val="en-US" w:eastAsia="zh-CN" w:bidi="ar"/>
        </w:rPr>
        <w:t>我单位无其他需要说明的问题。</w:t>
      </w:r>
    </w:p>
    <w:p>
      <w:pPr>
        <w:pStyle w:val="3"/>
        <w:pageBreakBefore w:val="0"/>
        <w:kinsoku/>
        <w:wordWrap/>
        <w:topLinePunct w:val="0"/>
        <w:autoSpaceDE/>
        <w:autoSpaceDN/>
        <w:bidi w:val="0"/>
        <w:spacing w:line="560" w:lineRule="exact"/>
        <w:ind w:firstLine="640"/>
        <w:textAlignment w:val="auto"/>
        <w:rPr>
          <w:color w:val="auto"/>
          <w:highlight w:val="none"/>
        </w:rPr>
      </w:pPr>
      <w:r>
        <w:rPr>
          <w:rFonts w:hint="eastAsia"/>
          <w:color w:val="auto"/>
          <w:highlight w:val="none"/>
          <w:lang w:eastAsia="zh-CN"/>
        </w:rPr>
        <w:t>九、</w:t>
      </w:r>
      <w:r>
        <w:rPr>
          <w:rFonts w:hint="eastAsia"/>
          <w:color w:val="auto"/>
          <w:highlight w:val="none"/>
        </w:rPr>
        <w:t>附表</w:t>
      </w:r>
    </w:p>
    <w:p>
      <w:pPr>
        <w:pageBreakBefore w:val="0"/>
        <w:kinsoku/>
        <w:wordWrap/>
        <w:topLinePunct w:val="0"/>
        <w:autoSpaceDE/>
        <w:autoSpaceDN/>
        <w:bidi w:val="0"/>
        <w:spacing w:line="560" w:lineRule="exact"/>
        <w:ind w:firstLine="560"/>
        <w:textAlignment w:val="auto"/>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pageBreakBefore w:val="0"/>
        <w:kinsoku/>
        <w:wordWrap/>
        <w:topLinePunct w:val="0"/>
        <w:autoSpaceDE/>
        <w:autoSpaceDN/>
        <w:bidi w:val="0"/>
        <w:spacing w:line="560" w:lineRule="exact"/>
        <w:textAlignment w:val="auto"/>
        <w:rPr>
          <w:rFonts w:hint="default"/>
          <w:color w:val="auto"/>
          <w:highlight w:val="none"/>
          <w:lang w:val="en-US" w:eastAsia="zh-CN"/>
        </w:rPr>
      </w:pPr>
    </w:p>
    <w:p>
      <w:pPr>
        <w:pageBreakBefore w:val="0"/>
        <w:kinsoku/>
        <w:wordWrap/>
        <w:topLinePunct w:val="0"/>
        <w:autoSpaceDE/>
        <w:autoSpaceDN/>
        <w:bidi w:val="0"/>
        <w:spacing w:line="560" w:lineRule="exact"/>
        <w:textAlignment w:val="auto"/>
        <w:rPr>
          <w:color w:val="auto"/>
          <w:highlight w:val="none"/>
        </w:rPr>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ingLiU">
    <w:panose1 w:val="02020509000000000000"/>
    <w:charset w:val="88"/>
    <w:family w:val="auto"/>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abstractNum w:abstractNumId="4">
    <w:nsid w:val="60137E0B"/>
    <w:multiLevelType w:val="singleLevel"/>
    <w:tmpl w:val="60137E0B"/>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OTE1OWM5NWFmNmIwZjEyMmNjNzU1NjMxNDZkZGYifQ=="/>
  </w:docVars>
  <w:rsids>
    <w:rsidRoot w:val="00000000"/>
    <w:rsid w:val="00850E2B"/>
    <w:rsid w:val="021F7F14"/>
    <w:rsid w:val="02242D73"/>
    <w:rsid w:val="022B436B"/>
    <w:rsid w:val="02CE0832"/>
    <w:rsid w:val="04931BED"/>
    <w:rsid w:val="04DD3926"/>
    <w:rsid w:val="04FB0482"/>
    <w:rsid w:val="0522507E"/>
    <w:rsid w:val="052E5FCD"/>
    <w:rsid w:val="06F10DD3"/>
    <w:rsid w:val="08AD43C6"/>
    <w:rsid w:val="092C3E74"/>
    <w:rsid w:val="0AED3443"/>
    <w:rsid w:val="0AEE491C"/>
    <w:rsid w:val="0B107CA6"/>
    <w:rsid w:val="0B8729E7"/>
    <w:rsid w:val="0C7A1676"/>
    <w:rsid w:val="0D166A1B"/>
    <w:rsid w:val="0D820750"/>
    <w:rsid w:val="0DCC5BD2"/>
    <w:rsid w:val="0EC4400A"/>
    <w:rsid w:val="0F692B22"/>
    <w:rsid w:val="0F9F7929"/>
    <w:rsid w:val="10B8090A"/>
    <w:rsid w:val="11241828"/>
    <w:rsid w:val="13566047"/>
    <w:rsid w:val="157B04AB"/>
    <w:rsid w:val="173E63CE"/>
    <w:rsid w:val="175238F4"/>
    <w:rsid w:val="17A50B2D"/>
    <w:rsid w:val="17B35DB7"/>
    <w:rsid w:val="18434050"/>
    <w:rsid w:val="1B176503"/>
    <w:rsid w:val="1D0C49D1"/>
    <w:rsid w:val="228A1C05"/>
    <w:rsid w:val="2432224C"/>
    <w:rsid w:val="25042188"/>
    <w:rsid w:val="25983556"/>
    <w:rsid w:val="25F753E9"/>
    <w:rsid w:val="26903868"/>
    <w:rsid w:val="2EC63DD4"/>
    <w:rsid w:val="2FF1481F"/>
    <w:rsid w:val="30537B7E"/>
    <w:rsid w:val="30A12166"/>
    <w:rsid w:val="35496A51"/>
    <w:rsid w:val="36106EE8"/>
    <w:rsid w:val="37EC2E32"/>
    <w:rsid w:val="39330366"/>
    <w:rsid w:val="3A0F3950"/>
    <w:rsid w:val="3A1E2AC8"/>
    <w:rsid w:val="3CA22419"/>
    <w:rsid w:val="3F215A57"/>
    <w:rsid w:val="401F1139"/>
    <w:rsid w:val="40C2596E"/>
    <w:rsid w:val="41E97C3F"/>
    <w:rsid w:val="422C4F37"/>
    <w:rsid w:val="43B944C7"/>
    <w:rsid w:val="44360303"/>
    <w:rsid w:val="44C5259F"/>
    <w:rsid w:val="4535357C"/>
    <w:rsid w:val="457033CB"/>
    <w:rsid w:val="45906864"/>
    <w:rsid w:val="45DD79C8"/>
    <w:rsid w:val="45E94B82"/>
    <w:rsid w:val="48A95C04"/>
    <w:rsid w:val="4B151486"/>
    <w:rsid w:val="4B2D59CA"/>
    <w:rsid w:val="4B616256"/>
    <w:rsid w:val="4C977052"/>
    <w:rsid w:val="4DD45221"/>
    <w:rsid w:val="4F0E533E"/>
    <w:rsid w:val="52C55120"/>
    <w:rsid w:val="5309631A"/>
    <w:rsid w:val="53F8370C"/>
    <w:rsid w:val="552A2156"/>
    <w:rsid w:val="56D42DB0"/>
    <w:rsid w:val="572F3CC7"/>
    <w:rsid w:val="57CF408D"/>
    <w:rsid w:val="58D44D75"/>
    <w:rsid w:val="5A497E8A"/>
    <w:rsid w:val="5A6B4DDB"/>
    <w:rsid w:val="5ED60D3C"/>
    <w:rsid w:val="5EE04258"/>
    <w:rsid w:val="5EE25574"/>
    <w:rsid w:val="60F56B28"/>
    <w:rsid w:val="62255471"/>
    <w:rsid w:val="63992327"/>
    <w:rsid w:val="654C5806"/>
    <w:rsid w:val="658916CD"/>
    <w:rsid w:val="65FC5162"/>
    <w:rsid w:val="690B012A"/>
    <w:rsid w:val="6A683F99"/>
    <w:rsid w:val="6BA82B71"/>
    <w:rsid w:val="6E185DAB"/>
    <w:rsid w:val="6E8B7C84"/>
    <w:rsid w:val="6F1F575F"/>
    <w:rsid w:val="6FD84AD6"/>
    <w:rsid w:val="724B5942"/>
    <w:rsid w:val="73840844"/>
    <w:rsid w:val="74CF7A89"/>
    <w:rsid w:val="773F7236"/>
    <w:rsid w:val="7FEE0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next w:val="1"/>
    <w:qFormat/>
    <w:uiPriority w:val="0"/>
    <w:pPr>
      <w:ind w:firstLine="420" w:firstLineChars="200"/>
    </w:pPr>
  </w:style>
  <w:style w:type="table" w:styleId="13">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bCs/>
    </w:rPr>
  </w:style>
  <w:style w:type="paragraph" w:customStyle="1" w:styleId="16">
    <w:name w:val="正文文本1"/>
    <w:basedOn w:val="1"/>
    <w:qFormat/>
    <w:uiPriority w:val="0"/>
    <w:pPr>
      <w:widowControl w:val="0"/>
      <w:shd w:val="clear" w:color="auto" w:fill="FFFFFF"/>
      <w:spacing w:line="401" w:lineRule="auto"/>
      <w:ind w:firstLine="400"/>
    </w:pPr>
    <w:rPr>
      <w:rFonts w:ascii="MingLiU" w:hAnsi="MingLiU" w:eastAsia="MingLiU" w:cs="MingLiU"/>
      <w:sz w:val="28"/>
      <w:szCs w:val="28"/>
      <w:u w:val="none"/>
      <w:lang w:val="zh-CN" w:eastAsia="zh-CN" w:bidi="zh-CN"/>
    </w:rPr>
  </w:style>
  <w:style w:type="paragraph" w:customStyle="1" w:styleId="17">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8">
    <w:name w:val="p0"/>
    <w:qFormat/>
    <w:uiPriority w:val="0"/>
    <w:pPr>
      <w:widowControl/>
      <w:adjustRightInd w:val="0"/>
      <w:snapToGrid w:val="0"/>
      <w:spacing w:after="200" w:line="365" w:lineRule="atLeast"/>
      <w:ind w:left="1" w:firstLine="0" w:firstLineChars="0"/>
      <w:jc w:val="left"/>
      <w:textAlignment w:val="bottom"/>
    </w:pPr>
    <w:rPr>
      <w:rFonts w:ascii="Tahoma" w:hAnsi="Tahoma" w:eastAsia="微软雅黑" w:cstheme="minorBidi"/>
      <w:kern w:val="0"/>
      <w:sz w:val="20"/>
      <w:szCs w:val="20"/>
      <w:lang w:val="en-US" w:eastAsia="zh-CN" w:bidi="ar-SA"/>
    </w:rPr>
  </w:style>
  <w:style w:type="paragraph" w:customStyle="1" w:styleId="19">
    <w:name w:val="标题2"/>
    <w:qFormat/>
    <w:uiPriority w:val="0"/>
    <w:pPr>
      <w:keepNext/>
      <w:keepLines/>
      <w:widowControl w:val="0"/>
      <w:numPr>
        <w:ilvl w:val="0"/>
        <w:numId w:val="1"/>
      </w:numPr>
      <w:spacing w:before="120" w:after="120" w:line="500" w:lineRule="exact"/>
      <w:ind w:firstLine="964" w:firstLineChars="200"/>
      <w:jc w:val="both"/>
      <w:outlineLvl w:val="1"/>
    </w:pPr>
    <w:rPr>
      <w:rFonts w:ascii="仿宋_GB2312" w:hAnsi="Arial" w:eastAsia="仿宋_GB2312" w:cs="Times New Roman"/>
      <w:b/>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8289</Words>
  <Characters>8765</Characters>
  <Lines>0</Lines>
  <Paragraphs>0</Paragraphs>
  <TotalTime>22</TotalTime>
  <ScaleCrop>false</ScaleCrop>
  <LinksUpToDate>false</LinksUpToDate>
  <CharactersWithSpaces>8771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2024-08-20T05:04:20Z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